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00"/>
        <w:gridCol w:w="4320"/>
      </w:tblGrid>
      <w:tr w:rsidR="006A760F" w14:paraId="4CF01470" w14:textId="77777777">
        <w:tc>
          <w:tcPr>
            <w:tcW w:w="5400" w:type="dxa"/>
            <w:tcBorders>
              <w:top w:val="none" w:sz="0" w:space="0" w:color="FFFFFF"/>
              <w:left w:val="none" w:sz="0" w:space="0" w:color="FFFFFF"/>
              <w:bottom w:val="none" w:sz="0" w:space="0" w:color="FFFFFF"/>
              <w:right w:val="none" w:sz="0" w:space="0" w:color="FFFFFF"/>
            </w:tcBorders>
            <w:vAlign w:val="center"/>
          </w:tcPr>
          <w:p w14:paraId="00FA6F80" w14:textId="77777777" w:rsidR="006A760F" w:rsidRDefault="005B4AD6">
            <w:r>
              <w:rPr>
                <w:noProof/>
              </w:rPr>
              <w:drawing>
                <wp:inline distT="0" distB="0" distL="0" distR="0" wp14:anchorId="5DEB7F5E" wp14:editId="2E82280B">
                  <wp:extent cx="2476500" cy="704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476500" cy="704850"/>
                          </a:xfrm>
                          <a:prstGeom prst="rect">
                            <a:avLst/>
                          </a:prstGeom>
                        </pic:spPr>
                      </pic:pic>
                    </a:graphicData>
                  </a:graphic>
                </wp:inline>
              </w:drawing>
            </w:r>
          </w:p>
        </w:tc>
        <w:tc>
          <w:tcPr>
            <w:tcW w:w="4320" w:type="dxa"/>
            <w:tcBorders>
              <w:top w:val="none" w:sz="0" w:space="0" w:color="FFFFFF"/>
              <w:left w:val="none" w:sz="0" w:space="0" w:color="FFFFFF"/>
              <w:bottom w:val="none" w:sz="0" w:space="0" w:color="FFFFFF"/>
              <w:right w:val="none" w:sz="0" w:space="0" w:color="FFFFFF"/>
            </w:tcBorders>
            <w:vAlign w:val="center"/>
          </w:tcPr>
          <w:p w14:paraId="22942E29" w14:textId="77777777" w:rsidR="006A760F" w:rsidRDefault="005B4AD6">
            <w:pPr>
              <w:spacing w:after="40"/>
              <w:jc w:val="right"/>
            </w:pPr>
            <w:r>
              <w:rPr>
                <w:rFonts w:ascii="Arial" w:eastAsia="Arial" w:hAnsi="Arial" w:cs="Arial"/>
                <w:b/>
                <w:bCs/>
                <w:color w:val="1F3864"/>
                <w:sz w:val="28"/>
                <w:szCs w:val="28"/>
              </w:rPr>
              <w:t>CMMC Level 2</w:t>
            </w:r>
          </w:p>
          <w:p w14:paraId="29BB9843" w14:textId="77777777" w:rsidR="006A760F" w:rsidRDefault="005B4AD6">
            <w:pPr>
              <w:spacing w:after="40"/>
              <w:jc w:val="right"/>
            </w:pPr>
            <w:r>
              <w:rPr>
                <w:rFonts w:ascii="Arial" w:eastAsia="Arial" w:hAnsi="Arial" w:cs="Arial"/>
                <w:b/>
                <w:bCs/>
                <w:color w:val="1F3864"/>
                <w:sz w:val="28"/>
                <w:szCs w:val="28"/>
              </w:rPr>
              <w:t>ESP Support Package</w:t>
            </w:r>
          </w:p>
          <w:p w14:paraId="1CCD1E9E" w14:textId="77777777" w:rsidR="006A760F" w:rsidRDefault="005B4AD6">
            <w:pPr>
              <w:spacing w:after="40"/>
              <w:jc w:val="right"/>
            </w:pPr>
            <w:r>
              <w:rPr>
                <w:rFonts w:ascii="Arial" w:eastAsia="Arial" w:hAnsi="Arial" w:cs="Arial"/>
                <w:color w:val="2E5090"/>
                <w:sz w:val="18"/>
                <w:szCs w:val="18"/>
              </w:rPr>
              <w:t>External Service Provider Reference Guide</w:t>
            </w:r>
          </w:p>
          <w:p w14:paraId="041C4E2F" w14:textId="77777777" w:rsidR="006A760F" w:rsidRDefault="005B4AD6">
            <w:pPr>
              <w:jc w:val="right"/>
            </w:pPr>
            <w:r>
              <w:rPr>
                <w:rFonts w:ascii="Arial" w:eastAsia="Arial" w:hAnsi="Arial" w:cs="Arial"/>
                <w:color w:val="888888"/>
                <w:sz w:val="17"/>
                <w:szCs w:val="17"/>
              </w:rPr>
              <w:t>March 2026</w:t>
            </w:r>
          </w:p>
        </w:tc>
      </w:tr>
    </w:tbl>
    <w:p w14:paraId="314CE717" w14:textId="77777777" w:rsidR="006A760F" w:rsidRDefault="006A760F">
      <w:pPr>
        <w:pBdr>
          <w:bottom w:val="single" w:sz="6" w:space="4" w:color="1F3864"/>
        </w:pBdr>
        <w:spacing w:after="120"/>
      </w:pPr>
    </w:p>
    <w:p w14:paraId="6E4A29C8" w14:textId="77777777" w:rsidR="006A760F" w:rsidRDefault="006A760F">
      <w:pPr>
        <w:spacing w:before="60" w:after="60"/>
      </w:pPr>
    </w:p>
    <w:p w14:paraId="2E31C1FD" w14:textId="77777777" w:rsidR="006A760F" w:rsidRDefault="005B4AD6">
      <w:pPr>
        <w:spacing w:before="60" w:after="60"/>
      </w:pPr>
      <w:r>
        <w:rPr>
          <w:rFonts w:ascii="Arial" w:eastAsia="Arial" w:hAnsi="Arial" w:cs="Arial"/>
          <w:color w:val="555555"/>
          <w:sz w:val="18"/>
          <w:szCs w:val="18"/>
        </w:rPr>
        <w:t>This reference package supports organizations using an External Service Provider (ESP) to build and maintain a CMMC Level 2 GCC-High enclave. It provides a CCA-reviewed boundary statement, RACI matrix, involvement diagram, assessor interview preparation guide, and documentation checklist. Content reflects real-world assessment experience and C3PAO evaluation methodology.</w:t>
      </w:r>
    </w:p>
    <w:p w14:paraId="45EBC2C7" w14:textId="77777777" w:rsidR="006A760F" w:rsidRDefault="006A760F">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6A760F" w14:paraId="12614E3F" w14:textId="77777777">
        <w:tc>
          <w:tcPr>
            <w:tcW w:w="0" w:type="auto"/>
            <w:tcBorders>
              <w:top w:val="single" w:sz="2" w:space="0" w:color="CCCCCC"/>
              <w:left w:val="single" w:sz="6" w:space="0" w:color="1F3864"/>
              <w:bottom w:val="single" w:sz="2" w:space="0" w:color="CCCCCC"/>
              <w:right w:val="single" w:sz="2" w:space="0" w:color="CCCCCC"/>
            </w:tcBorders>
            <w:shd w:val="clear" w:color="auto" w:fill="FFF2CC"/>
            <w:tcMar>
              <w:top w:w="120" w:type="dxa"/>
              <w:left w:w="200" w:type="dxa"/>
              <w:bottom w:w="120" w:type="dxa"/>
              <w:right w:w="200" w:type="dxa"/>
            </w:tcMar>
          </w:tcPr>
          <w:p w14:paraId="009C2B28" w14:textId="77777777" w:rsidR="006A760F" w:rsidRDefault="005B4AD6">
            <w:pPr>
              <w:spacing w:after="60"/>
            </w:pPr>
            <w:r>
              <w:rPr>
                <w:rFonts w:ascii="Arial" w:eastAsia="Arial" w:hAnsi="Arial" w:cs="Arial"/>
                <w:b/>
                <w:bCs/>
                <w:color w:val="1F3864"/>
                <w:sz w:val="19"/>
                <w:szCs w:val="19"/>
              </w:rPr>
              <w:t>CCA-Reviewed Content</w:t>
            </w:r>
          </w:p>
          <w:p w14:paraId="02304F5D" w14:textId="77777777" w:rsidR="006A760F" w:rsidRDefault="005B4AD6">
            <w:r>
              <w:rPr>
                <w:rFonts w:ascii="Arial" w:eastAsia="Arial" w:hAnsi="Arial" w:cs="Arial"/>
                <w:color w:val="444444"/>
                <w:sz w:val="18"/>
                <w:szCs w:val="18"/>
              </w:rPr>
              <w:t>This document was developed and reviewed by a Certified CMMC Assessor (CCA) with direct experience implementing GCC-High enclaves, managing day-to-day compliance operations, and conducting formal CMMC Level 2 C3PAO assessments. It reflects actual assessment methodology — not theoretical frameworks.</w:t>
            </w:r>
          </w:p>
        </w:tc>
      </w:tr>
    </w:tbl>
    <w:p w14:paraId="3A039359" w14:textId="77777777" w:rsidR="006A760F" w:rsidRDefault="006A760F">
      <w:pPr>
        <w:spacing w:before="100" w:after="80"/>
      </w:pPr>
    </w:p>
    <w:p w14:paraId="3638A153" w14:textId="77777777" w:rsidR="006A760F" w:rsidRDefault="005B4AD6">
      <w:pPr>
        <w:pBdr>
          <w:bottom w:val="single" w:sz="6" w:space="4" w:color="1F3864"/>
        </w:pBdr>
        <w:spacing w:before="280" w:after="120"/>
      </w:pPr>
      <w:r>
        <w:rPr>
          <w:rFonts w:ascii="Arial" w:eastAsia="Arial" w:hAnsi="Arial" w:cs="Arial"/>
          <w:b/>
          <w:bCs/>
          <w:color w:val="1F3864"/>
          <w:sz w:val="28"/>
          <w:szCs w:val="28"/>
        </w:rPr>
        <w:t>1. Assessment Boundary Statement</w:t>
      </w:r>
    </w:p>
    <w:p w14:paraId="3591C32C" w14:textId="77777777" w:rsidR="006A760F" w:rsidRDefault="006A760F">
      <w:pPr>
        <w:spacing w:before="60" w:after="60"/>
      </w:pPr>
    </w:p>
    <w:p w14:paraId="33F9368B" w14:textId="77777777" w:rsidR="006A760F" w:rsidRDefault="005B4AD6">
      <w:pPr>
        <w:spacing w:before="200" w:after="80"/>
      </w:pPr>
      <w:r>
        <w:rPr>
          <w:rFonts w:ascii="Arial" w:eastAsia="Arial" w:hAnsi="Arial" w:cs="Arial"/>
          <w:b/>
          <w:bCs/>
          <w:color w:val="2E5090"/>
          <w:sz w:val="22"/>
          <w:szCs w:val="22"/>
        </w:rPr>
        <w:t>1.1 Overview</w:t>
      </w:r>
    </w:p>
    <w:p w14:paraId="7AAE37E0" w14:textId="77777777" w:rsidR="006A760F" w:rsidRDefault="005B4AD6">
      <w:pPr>
        <w:spacing w:before="60" w:after="60"/>
      </w:pPr>
      <w:r>
        <w:rPr>
          <w:rFonts w:ascii="Arial" w:eastAsia="Arial" w:hAnsi="Arial" w:cs="Arial"/>
          <w:color w:val="333333"/>
          <w:sz w:val="19"/>
          <w:szCs w:val="19"/>
        </w:rPr>
        <w:t>The External Service Provider (ESP) provides privileged administrative support, technical expertise, and security oversight for the Organization Seeking Certification (OSC). All administrative actions performed by the ESP occur entirely within the OSC's GCC-High enclave using privileged accounts controlled by the OSC.</w:t>
      </w:r>
    </w:p>
    <w:p w14:paraId="08A29439" w14:textId="77777777" w:rsidR="006A760F" w:rsidRDefault="006A760F">
      <w:pPr>
        <w:spacing w:before="60" w:after="60"/>
      </w:pPr>
    </w:p>
    <w:p w14:paraId="601D0E52" w14:textId="77777777" w:rsidR="006A760F" w:rsidRDefault="005B4AD6">
      <w:pPr>
        <w:spacing w:before="60" w:after="60"/>
      </w:pPr>
      <w:r>
        <w:rPr>
          <w:rFonts w:ascii="Arial" w:eastAsia="Arial" w:hAnsi="Arial" w:cs="Arial"/>
          <w:color w:val="333333"/>
          <w:sz w:val="19"/>
          <w:szCs w:val="19"/>
        </w:rPr>
        <w:t>The ESP operates under a formal agreement with the OSC — including a Master Services Agreement (MSA), Statement of Work (SOW), or Service Level Agreement (</w:t>
      </w:r>
      <w:proofErr w:type="gramStart"/>
      <w:r>
        <w:rPr>
          <w:rFonts w:ascii="Arial" w:eastAsia="Arial" w:hAnsi="Arial" w:cs="Arial"/>
          <w:color w:val="333333"/>
          <w:sz w:val="19"/>
          <w:szCs w:val="19"/>
        </w:rPr>
        <w:t>SLA) —</w:t>
      </w:r>
      <w:proofErr w:type="gramEnd"/>
      <w:r>
        <w:rPr>
          <w:rFonts w:ascii="Arial" w:eastAsia="Arial" w:hAnsi="Arial" w:cs="Arial"/>
          <w:color w:val="333333"/>
          <w:sz w:val="19"/>
          <w:szCs w:val="19"/>
        </w:rPr>
        <w:t xml:space="preserve"> that defines roles, responsibilities, access requirements, and security obligations. This contractual relationship is the basis for OSC oversight and control of ESP activity within the enclave.</w:t>
      </w:r>
    </w:p>
    <w:p w14:paraId="55BB41CB" w14:textId="77777777" w:rsidR="006A760F" w:rsidRDefault="006A760F">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6A760F" w14:paraId="3B0C49D9" w14:textId="77777777">
        <w:tc>
          <w:tcPr>
            <w:tcW w:w="0" w:type="auto"/>
            <w:tcBorders>
              <w:top w:val="single" w:sz="2" w:space="0" w:color="CCCCCC"/>
              <w:left w:val="single" w:sz="6" w:space="0" w:color="1F3864"/>
              <w:bottom w:val="single" w:sz="2" w:space="0" w:color="CCCCCC"/>
              <w:right w:val="single" w:sz="2" w:space="0" w:color="CCCCCC"/>
            </w:tcBorders>
            <w:shd w:val="clear" w:color="auto" w:fill="FFF2CC"/>
            <w:tcMar>
              <w:top w:w="120" w:type="dxa"/>
              <w:left w:w="200" w:type="dxa"/>
              <w:bottom w:w="120" w:type="dxa"/>
              <w:right w:w="200" w:type="dxa"/>
            </w:tcMar>
          </w:tcPr>
          <w:p w14:paraId="0BD7F911" w14:textId="77777777" w:rsidR="006A760F" w:rsidRDefault="005B4AD6">
            <w:pPr>
              <w:spacing w:after="60"/>
            </w:pPr>
            <w:r>
              <w:rPr>
                <w:rFonts w:ascii="Arial" w:eastAsia="Arial" w:hAnsi="Arial" w:cs="Arial"/>
                <w:b/>
                <w:bCs/>
                <w:color w:val="1F3864"/>
                <w:sz w:val="19"/>
                <w:szCs w:val="19"/>
              </w:rPr>
              <w:t>Important — ESP Personnel Training</w:t>
            </w:r>
          </w:p>
          <w:p w14:paraId="777ABF5D" w14:textId="77777777" w:rsidR="006A760F" w:rsidRDefault="005B4AD6">
            <w:r>
              <w:rPr>
                <w:rFonts w:ascii="Arial" w:eastAsia="Arial" w:hAnsi="Arial" w:cs="Arial"/>
                <w:color w:val="444444"/>
                <w:sz w:val="18"/>
                <w:szCs w:val="18"/>
              </w:rPr>
              <w:t>All ESP personnel with privileged access to the OSC's enclave must complete required CMMC awareness training. Training records are maintained by the OSC and are subject to assessor review. ESPs should ensure training completion is documented before privileged access is provisioned.</w:t>
            </w:r>
          </w:p>
        </w:tc>
      </w:tr>
    </w:tbl>
    <w:p w14:paraId="6179D56F" w14:textId="77777777" w:rsidR="006A760F" w:rsidRDefault="006A760F">
      <w:pPr>
        <w:spacing w:before="80" w:after="60"/>
      </w:pPr>
    </w:p>
    <w:p w14:paraId="19FDE7BB" w14:textId="77777777" w:rsidR="006A760F" w:rsidRDefault="005B4AD6">
      <w:pPr>
        <w:spacing w:before="200" w:after="80"/>
      </w:pPr>
      <w:r>
        <w:rPr>
          <w:rFonts w:ascii="Arial" w:eastAsia="Arial" w:hAnsi="Arial" w:cs="Arial"/>
          <w:b/>
          <w:bCs/>
          <w:color w:val="2E5090"/>
          <w:sz w:val="22"/>
          <w:szCs w:val="22"/>
        </w:rPr>
        <w:t>1.2 Boundary Definition</w:t>
      </w:r>
    </w:p>
    <w:p w14:paraId="3CAFB3B2" w14:textId="77777777" w:rsidR="006A760F" w:rsidRDefault="005B4AD6">
      <w:pPr>
        <w:spacing w:before="160" w:after="60"/>
      </w:pPr>
      <w:r>
        <w:rPr>
          <w:rFonts w:ascii="Arial" w:eastAsia="Arial" w:hAnsi="Arial" w:cs="Arial"/>
          <w:b/>
          <w:bCs/>
          <w:color w:val="C0392B"/>
        </w:rPr>
        <w:t>Inside the Assessment Boundary</w:t>
      </w:r>
    </w:p>
    <w:p w14:paraId="3B8D876F" w14:textId="77777777" w:rsidR="006A760F" w:rsidRDefault="005B4AD6">
      <w:pPr>
        <w:pStyle w:val="ListParagraph"/>
        <w:numPr>
          <w:ilvl w:val="0"/>
          <w:numId w:val="2"/>
        </w:numPr>
        <w:spacing w:before="50" w:after="50"/>
      </w:pPr>
      <w:r>
        <w:rPr>
          <w:rFonts w:ascii="Arial" w:eastAsia="Arial" w:hAnsi="Arial" w:cs="Arial"/>
          <w:color w:val="333333"/>
          <w:sz w:val="19"/>
          <w:szCs w:val="19"/>
        </w:rPr>
        <w:t>GCC-High enclave systems</w:t>
      </w:r>
    </w:p>
    <w:p w14:paraId="3F918A03" w14:textId="77777777" w:rsidR="006A760F" w:rsidRDefault="005B4AD6">
      <w:pPr>
        <w:pStyle w:val="ListParagraph"/>
        <w:numPr>
          <w:ilvl w:val="0"/>
          <w:numId w:val="2"/>
        </w:numPr>
        <w:spacing w:before="50" w:after="50"/>
      </w:pPr>
      <w:r>
        <w:rPr>
          <w:rFonts w:ascii="Arial" w:eastAsia="Arial" w:hAnsi="Arial" w:cs="Arial"/>
          <w:color w:val="333333"/>
          <w:sz w:val="19"/>
          <w:szCs w:val="19"/>
        </w:rPr>
        <w:t>OSC personnel</w:t>
      </w:r>
    </w:p>
    <w:p w14:paraId="4D686304" w14:textId="77777777" w:rsidR="006A760F" w:rsidRDefault="005B4AD6">
      <w:pPr>
        <w:pStyle w:val="ListParagraph"/>
        <w:numPr>
          <w:ilvl w:val="0"/>
          <w:numId w:val="2"/>
        </w:numPr>
        <w:spacing w:before="50" w:after="50"/>
      </w:pPr>
      <w:r>
        <w:rPr>
          <w:rFonts w:ascii="Arial" w:eastAsia="Arial" w:hAnsi="Arial" w:cs="Arial"/>
          <w:color w:val="333333"/>
          <w:sz w:val="19"/>
          <w:szCs w:val="19"/>
        </w:rPr>
        <w:t>ESP personnel acting as privileged administrators</w:t>
      </w:r>
    </w:p>
    <w:p w14:paraId="38AB66B2" w14:textId="77777777" w:rsidR="006A760F" w:rsidRDefault="005B4AD6">
      <w:pPr>
        <w:pStyle w:val="ListParagraph"/>
        <w:numPr>
          <w:ilvl w:val="0"/>
          <w:numId w:val="2"/>
        </w:numPr>
        <w:spacing w:before="50" w:after="50"/>
      </w:pPr>
      <w:r>
        <w:rPr>
          <w:rFonts w:ascii="Arial" w:eastAsia="Arial" w:hAnsi="Arial" w:cs="Arial"/>
          <w:color w:val="333333"/>
          <w:sz w:val="19"/>
          <w:szCs w:val="19"/>
        </w:rPr>
        <w:t>Privileged accounts created and controlled by the OSC</w:t>
      </w:r>
    </w:p>
    <w:p w14:paraId="228F9721" w14:textId="77777777" w:rsidR="006A760F" w:rsidRDefault="005B4AD6">
      <w:pPr>
        <w:pStyle w:val="ListParagraph"/>
        <w:numPr>
          <w:ilvl w:val="0"/>
          <w:numId w:val="2"/>
        </w:numPr>
        <w:spacing w:before="50" w:after="50"/>
      </w:pPr>
      <w:r>
        <w:rPr>
          <w:rFonts w:ascii="Arial" w:eastAsia="Arial" w:hAnsi="Arial" w:cs="Arial"/>
          <w:color w:val="333333"/>
          <w:sz w:val="19"/>
          <w:szCs w:val="19"/>
        </w:rPr>
        <w:t>All enclave configurations, logs, and evidence</w:t>
      </w:r>
    </w:p>
    <w:p w14:paraId="79A58601" w14:textId="77777777" w:rsidR="006A760F" w:rsidRDefault="005B4AD6">
      <w:pPr>
        <w:pStyle w:val="ListParagraph"/>
        <w:numPr>
          <w:ilvl w:val="0"/>
          <w:numId w:val="2"/>
        </w:numPr>
        <w:spacing w:before="50" w:after="50"/>
      </w:pPr>
      <w:r>
        <w:rPr>
          <w:rFonts w:ascii="Arial" w:eastAsia="Arial" w:hAnsi="Arial" w:cs="Arial"/>
          <w:color w:val="333333"/>
          <w:sz w:val="19"/>
          <w:szCs w:val="19"/>
        </w:rPr>
        <w:t>Change management workflows</w:t>
      </w:r>
    </w:p>
    <w:p w14:paraId="5E12DD55" w14:textId="77777777" w:rsidR="006A760F" w:rsidRDefault="005B4AD6">
      <w:pPr>
        <w:pStyle w:val="ListParagraph"/>
        <w:numPr>
          <w:ilvl w:val="0"/>
          <w:numId w:val="2"/>
        </w:numPr>
        <w:spacing w:before="50" w:after="50"/>
      </w:pPr>
      <w:r>
        <w:rPr>
          <w:rFonts w:ascii="Arial" w:eastAsia="Arial" w:hAnsi="Arial" w:cs="Arial"/>
          <w:color w:val="333333"/>
          <w:sz w:val="19"/>
          <w:szCs w:val="19"/>
        </w:rPr>
        <w:t>Incident response workflows</w:t>
      </w:r>
    </w:p>
    <w:p w14:paraId="14C1E138" w14:textId="77777777" w:rsidR="006A760F" w:rsidRDefault="005B4AD6">
      <w:pPr>
        <w:pStyle w:val="ListParagraph"/>
        <w:numPr>
          <w:ilvl w:val="0"/>
          <w:numId w:val="2"/>
        </w:numPr>
        <w:spacing w:before="50" w:after="50"/>
      </w:pPr>
      <w:r>
        <w:rPr>
          <w:rFonts w:ascii="Arial" w:eastAsia="Arial" w:hAnsi="Arial" w:cs="Arial"/>
          <w:color w:val="333333"/>
          <w:sz w:val="19"/>
          <w:szCs w:val="19"/>
        </w:rPr>
        <w:t>CUI systems and data</w:t>
      </w:r>
    </w:p>
    <w:p w14:paraId="6CE9E4ED" w14:textId="77777777" w:rsidR="006A760F" w:rsidRDefault="006A760F">
      <w:pPr>
        <w:spacing w:before="60" w:after="60"/>
      </w:pPr>
    </w:p>
    <w:p w14:paraId="64005227" w14:textId="77777777" w:rsidR="006A760F" w:rsidRDefault="005B4AD6">
      <w:pPr>
        <w:spacing w:before="160" w:after="60"/>
      </w:pPr>
      <w:r>
        <w:rPr>
          <w:rFonts w:ascii="Arial" w:eastAsia="Arial" w:hAnsi="Arial" w:cs="Arial"/>
          <w:b/>
          <w:bCs/>
          <w:color w:val="C0392B"/>
        </w:rPr>
        <w:t>Outside the Assessment Boundary</w:t>
      </w:r>
    </w:p>
    <w:p w14:paraId="7B5C9E52" w14:textId="77777777" w:rsidR="006A760F" w:rsidRDefault="005B4AD6">
      <w:pPr>
        <w:pStyle w:val="ListParagraph"/>
        <w:numPr>
          <w:ilvl w:val="0"/>
          <w:numId w:val="2"/>
        </w:numPr>
        <w:spacing w:before="50" w:after="50"/>
      </w:pPr>
      <w:r>
        <w:rPr>
          <w:rFonts w:ascii="Arial" w:eastAsia="Arial" w:hAnsi="Arial" w:cs="Arial"/>
          <w:color w:val="333333"/>
          <w:sz w:val="19"/>
          <w:szCs w:val="19"/>
        </w:rPr>
        <w:lastRenderedPageBreak/>
        <w:t>ESP corporate networks</w:t>
      </w:r>
    </w:p>
    <w:p w14:paraId="2B32AF2B" w14:textId="77777777" w:rsidR="006A760F" w:rsidRDefault="005B4AD6">
      <w:pPr>
        <w:pStyle w:val="ListParagraph"/>
        <w:numPr>
          <w:ilvl w:val="0"/>
          <w:numId w:val="2"/>
        </w:numPr>
        <w:spacing w:before="50" w:after="50"/>
      </w:pPr>
      <w:r>
        <w:rPr>
          <w:rFonts w:ascii="Arial" w:eastAsia="Arial" w:hAnsi="Arial" w:cs="Arial"/>
          <w:color w:val="333333"/>
          <w:sz w:val="19"/>
          <w:szCs w:val="19"/>
        </w:rPr>
        <w:t>ESP internal IT systems</w:t>
      </w:r>
    </w:p>
    <w:p w14:paraId="5276D65E" w14:textId="77777777" w:rsidR="006A760F" w:rsidRDefault="005B4AD6">
      <w:pPr>
        <w:pStyle w:val="ListParagraph"/>
        <w:numPr>
          <w:ilvl w:val="0"/>
          <w:numId w:val="2"/>
        </w:numPr>
        <w:spacing w:before="50" w:after="50"/>
      </w:pPr>
      <w:r>
        <w:rPr>
          <w:rFonts w:ascii="Arial" w:eastAsia="Arial" w:hAnsi="Arial" w:cs="Arial"/>
          <w:color w:val="333333"/>
          <w:sz w:val="19"/>
          <w:szCs w:val="19"/>
        </w:rPr>
        <w:t>ESP monitoring tools not hosted in GCC-High</w:t>
      </w:r>
    </w:p>
    <w:p w14:paraId="340AB482" w14:textId="77777777" w:rsidR="006A760F" w:rsidRDefault="005B4AD6">
      <w:pPr>
        <w:pStyle w:val="ListParagraph"/>
        <w:numPr>
          <w:ilvl w:val="0"/>
          <w:numId w:val="2"/>
        </w:numPr>
        <w:spacing w:before="50" w:after="50"/>
      </w:pPr>
      <w:r>
        <w:rPr>
          <w:rFonts w:ascii="Arial" w:eastAsia="Arial" w:hAnsi="Arial" w:cs="Arial"/>
          <w:color w:val="333333"/>
          <w:sz w:val="19"/>
          <w:szCs w:val="19"/>
        </w:rPr>
        <w:t>ESP ticketing systems</w:t>
      </w:r>
    </w:p>
    <w:p w14:paraId="19BBA955" w14:textId="77777777" w:rsidR="006A760F" w:rsidRDefault="005B4AD6">
      <w:pPr>
        <w:pStyle w:val="ListParagraph"/>
        <w:numPr>
          <w:ilvl w:val="0"/>
          <w:numId w:val="2"/>
        </w:numPr>
        <w:spacing w:before="50" w:after="50"/>
      </w:pPr>
      <w:r>
        <w:rPr>
          <w:rFonts w:ascii="Arial" w:eastAsia="Arial" w:hAnsi="Arial" w:cs="Arial"/>
          <w:color w:val="333333"/>
          <w:sz w:val="19"/>
          <w:szCs w:val="19"/>
        </w:rPr>
        <w:t>ESP infrastructure not hosted in GCC-High</w:t>
      </w:r>
    </w:p>
    <w:p w14:paraId="4F5BEE01" w14:textId="77777777" w:rsidR="006A760F" w:rsidRDefault="005B4AD6">
      <w:pPr>
        <w:pStyle w:val="ListParagraph"/>
        <w:numPr>
          <w:ilvl w:val="0"/>
          <w:numId w:val="2"/>
        </w:numPr>
        <w:spacing w:before="50" w:after="50"/>
      </w:pPr>
      <w:r>
        <w:rPr>
          <w:rFonts w:ascii="Arial" w:eastAsia="Arial" w:hAnsi="Arial" w:cs="Arial"/>
          <w:color w:val="333333"/>
          <w:sz w:val="19"/>
          <w:szCs w:val="19"/>
        </w:rPr>
        <w:t>ESP internal vulnerability management systems</w:t>
      </w:r>
    </w:p>
    <w:p w14:paraId="14C68B2F" w14:textId="77777777" w:rsidR="006A760F" w:rsidRDefault="005B4AD6">
      <w:pPr>
        <w:pStyle w:val="ListParagraph"/>
        <w:numPr>
          <w:ilvl w:val="0"/>
          <w:numId w:val="2"/>
        </w:numPr>
        <w:spacing w:before="50" w:after="50"/>
      </w:pPr>
      <w:r>
        <w:rPr>
          <w:rFonts w:ascii="Arial" w:eastAsia="Arial" w:hAnsi="Arial" w:cs="Arial"/>
          <w:color w:val="333333"/>
          <w:sz w:val="19"/>
          <w:szCs w:val="19"/>
        </w:rPr>
        <w:t>ESP FedRAMP Moderate status — not required</w:t>
      </w:r>
    </w:p>
    <w:p w14:paraId="1FD6565A" w14:textId="77777777" w:rsidR="006A760F" w:rsidRDefault="006A760F">
      <w:pPr>
        <w:spacing w:before="80" w:after="60"/>
      </w:pPr>
    </w:p>
    <w:p w14:paraId="7CBB9116" w14:textId="77777777" w:rsidR="006A760F" w:rsidRDefault="005B4AD6">
      <w:pPr>
        <w:spacing w:before="200" w:after="80"/>
      </w:pPr>
      <w:r>
        <w:rPr>
          <w:rFonts w:ascii="Arial" w:eastAsia="Arial" w:hAnsi="Arial" w:cs="Arial"/>
          <w:b/>
          <w:bCs/>
          <w:color w:val="2E5090"/>
          <w:sz w:val="22"/>
          <w:szCs w:val="22"/>
        </w:rPr>
        <w:t>1.3 Boundary Justification</w:t>
      </w:r>
    </w:p>
    <w:p w14:paraId="42B9E364" w14:textId="77777777" w:rsidR="006A760F" w:rsidRDefault="005B4AD6">
      <w:pPr>
        <w:spacing w:before="60" w:after="60"/>
      </w:pPr>
      <w:r>
        <w:rPr>
          <w:rFonts w:ascii="Arial" w:eastAsia="Arial" w:hAnsi="Arial" w:cs="Arial"/>
          <w:color w:val="333333"/>
          <w:sz w:val="19"/>
          <w:szCs w:val="19"/>
        </w:rPr>
        <w:t xml:space="preserve">The ESP does not store, process, or transmit CUI on any external systems. All privileged activity is performed using GCC-High accounts, with full logging and oversight by the OSC. No ESP systems influence enclave security controls. The ESP's contractual obligations to the OSC — including defined access provisioning, activity logging, change management participation, and access termination procedures — ensure the OSC </w:t>
      </w:r>
      <w:proofErr w:type="gramStart"/>
      <w:r>
        <w:rPr>
          <w:rFonts w:ascii="Arial" w:eastAsia="Arial" w:hAnsi="Arial" w:cs="Arial"/>
          <w:color w:val="333333"/>
          <w:sz w:val="19"/>
          <w:szCs w:val="19"/>
        </w:rPr>
        <w:t>maintains control and accountability for the enclave at all times</w:t>
      </w:r>
      <w:proofErr w:type="gramEnd"/>
      <w:r>
        <w:rPr>
          <w:rFonts w:ascii="Arial" w:eastAsia="Arial" w:hAnsi="Arial" w:cs="Arial"/>
          <w:color w:val="333333"/>
          <w:sz w:val="19"/>
          <w:szCs w:val="19"/>
        </w:rPr>
        <w:t>.</w:t>
      </w:r>
    </w:p>
    <w:p w14:paraId="70554A78" w14:textId="77777777" w:rsidR="006A760F" w:rsidRDefault="006A760F">
      <w:pPr>
        <w:spacing w:before="60" w:after="60"/>
      </w:pPr>
    </w:p>
    <w:p w14:paraId="1316C0F4" w14:textId="77777777" w:rsidR="006A760F" w:rsidRDefault="005B4AD6">
      <w:pPr>
        <w:spacing w:before="60" w:after="60"/>
      </w:pPr>
      <w:r>
        <w:rPr>
          <w:rFonts w:ascii="Arial" w:eastAsia="Arial" w:hAnsi="Arial" w:cs="Arial"/>
          <w:color w:val="333333"/>
          <w:sz w:val="19"/>
          <w:szCs w:val="19"/>
        </w:rPr>
        <w:t>Therefore, only ESP personnel and processes — not ESP infrastructure — are in scope for the CMMC Level 2 assessment.</w:t>
      </w:r>
    </w:p>
    <w:p w14:paraId="6AF4FEB8" w14:textId="77777777" w:rsidR="006A760F" w:rsidRDefault="006A760F">
      <w:pPr>
        <w:spacing w:before="240" w:after="120"/>
      </w:pPr>
    </w:p>
    <w:p w14:paraId="53DCCDE2" w14:textId="77777777" w:rsidR="006A760F" w:rsidRDefault="005B4AD6">
      <w:pPr>
        <w:pBdr>
          <w:bottom w:val="single" w:sz="6" w:space="4" w:color="1F3864"/>
        </w:pBdr>
        <w:spacing w:before="280" w:after="120"/>
      </w:pPr>
      <w:r>
        <w:rPr>
          <w:rFonts w:ascii="Arial" w:eastAsia="Arial" w:hAnsi="Arial" w:cs="Arial"/>
          <w:b/>
          <w:bCs/>
          <w:color w:val="1F3864"/>
          <w:sz w:val="28"/>
          <w:szCs w:val="28"/>
        </w:rPr>
        <w:t>2. ESP/OSC RACI Matrix</w:t>
      </w:r>
    </w:p>
    <w:p w14:paraId="58D32673" w14:textId="77777777" w:rsidR="006A760F" w:rsidRDefault="006A760F">
      <w:pPr>
        <w:spacing w:before="60" w:after="60"/>
      </w:pPr>
    </w:p>
    <w:p w14:paraId="3776F154" w14:textId="77777777" w:rsidR="006A760F" w:rsidRDefault="005B4AD6">
      <w:pPr>
        <w:spacing w:before="60" w:after="60"/>
      </w:pPr>
      <w:r>
        <w:rPr>
          <w:rFonts w:ascii="Arial" w:eastAsia="Arial" w:hAnsi="Arial" w:cs="Arial"/>
          <w:color w:val="333333"/>
          <w:sz w:val="19"/>
          <w:szCs w:val="19"/>
        </w:rPr>
        <w:t xml:space="preserve">The following matrix defines responsibility and accountability for each CMMC control area between the OSC and ESP. OSC columns reflect internal ownership. ESP columns reflect </w:t>
      </w:r>
      <w:proofErr w:type="gramStart"/>
      <w:r>
        <w:rPr>
          <w:rFonts w:ascii="Arial" w:eastAsia="Arial" w:hAnsi="Arial" w:cs="Arial"/>
          <w:color w:val="333333"/>
          <w:sz w:val="19"/>
          <w:szCs w:val="19"/>
        </w:rPr>
        <w:t>the ESP's</w:t>
      </w:r>
      <w:proofErr w:type="gramEnd"/>
      <w:r>
        <w:rPr>
          <w:rFonts w:ascii="Arial" w:eastAsia="Arial" w:hAnsi="Arial" w:cs="Arial"/>
          <w:color w:val="333333"/>
          <w:sz w:val="19"/>
          <w:szCs w:val="19"/>
        </w:rPr>
        <w:t xml:space="preserve"> operational role.</w:t>
      </w:r>
    </w:p>
    <w:p w14:paraId="6914FE67" w14:textId="77777777" w:rsidR="006A760F" w:rsidRDefault="006A760F">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6A760F" w14:paraId="0DB2A938" w14:textId="77777777">
        <w:tc>
          <w:tcPr>
            <w:tcW w:w="0" w:type="auto"/>
            <w:tcBorders>
              <w:top w:val="single" w:sz="2" w:space="0" w:color="CCCCCC"/>
              <w:left w:val="single" w:sz="6" w:space="0" w:color="1F3864"/>
              <w:bottom w:val="single" w:sz="2" w:space="0" w:color="CCCCCC"/>
              <w:right w:val="single" w:sz="2" w:space="0" w:color="CCCCCC"/>
            </w:tcBorders>
            <w:shd w:val="clear" w:color="auto" w:fill="FFF2CC"/>
            <w:tcMar>
              <w:top w:w="120" w:type="dxa"/>
              <w:left w:w="200" w:type="dxa"/>
              <w:bottom w:w="120" w:type="dxa"/>
              <w:right w:w="200" w:type="dxa"/>
            </w:tcMar>
          </w:tcPr>
          <w:p w14:paraId="65709BEB" w14:textId="77777777" w:rsidR="006A760F" w:rsidRDefault="005B4AD6">
            <w:pPr>
              <w:spacing w:after="60"/>
            </w:pPr>
            <w:r>
              <w:rPr>
                <w:rFonts w:ascii="Arial" w:eastAsia="Arial" w:hAnsi="Arial" w:cs="Arial"/>
                <w:b/>
                <w:bCs/>
                <w:color w:val="1F3864"/>
                <w:sz w:val="19"/>
                <w:szCs w:val="19"/>
              </w:rPr>
              <w:t>RACI Key</w:t>
            </w:r>
          </w:p>
          <w:p w14:paraId="2C1A72CB" w14:textId="77777777" w:rsidR="006A760F" w:rsidRDefault="005B4AD6">
            <w:r>
              <w:rPr>
                <w:rFonts w:ascii="Arial" w:eastAsia="Arial" w:hAnsi="Arial" w:cs="Arial"/>
                <w:color w:val="444444"/>
                <w:sz w:val="18"/>
                <w:szCs w:val="18"/>
              </w:rPr>
              <w:t xml:space="preserve">R = Responsible (does the </w:t>
            </w:r>
            <w:proofErr w:type="gramStart"/>
            <w:r>
              <w:rPr>
                <w:rFonts w:ascii="Arial" w:eastAsia="Arial" w:hAnsi="Arial" w:cs="Arial"/>
                <w:color w:val="444444"/>
                <w:sz w:val="18"/>
                <w:szCs w:val="18"/>
              </w:rPr>
              <w:t>work)  |</w:t>
            </w:r>
            <w:proofErr w:type="gramEnd"/>
            <w:r>
              <w:rPr>
                <w:rFonts w:ascii="Arial" w:eastAsia="Arial" w:hAnsi="Arial" w:cs="Arial"/>
                <w:color w:val="444444"/>
                <w:sz w:val="18"/>
                <w:szCs w:val="18"/>
              </w:rPr>
              <w:t xml:space="preserve">  A = Accountable (owns the </w:t>
            </w:r>
            <w:proofErr w:type="gramStart"/>
            <w:r>
              <w:rPr>
                <w:rFonts w:ascii="Arial" w:eastAsia="Arial" w:hAnsi="Arial" w:cs="Arial"/>
                <w:color w:val="444444"/>
                <w:sz w:val="18"/>
                <w:szCs w:val="18"/>
              </w:rPr>
              <w:t>outcome)  |</w:t>
            </w:r>
            <w:proofErr w:type="gramEnd"/>
            <w:r>
              <w:rPr>
                <w:rFonts w:ascii="Arial" w:eastAsia="Arial" w:hAnsi="Arial" w:cs="Arial"/>
                <w:color w:val="444444"/>
                <w:sz w:val="18"/>
                <w:szCs w:val="18"/>
              </w:rPr>
              <w:t xml:space="preserve">  C = Consulted (provides </w:t>
            </w:r>
            <w:proofErr w:type="gramStart"/>
            <w:r>
              <w:rPr>
                <w:rFonts w:ascii="Arial" w:eastAsia="Arial" w:hAnsi="Arial" w:cs="Arial"/>
                <w:color w:val="444444"/>
                <w:sz w:val="18"/>
                <w:szCs w:val="18"/>
              </w:rPr>
              <w:t>input)  |</w:t>
            </w:r>
            <w:proofErr w:type="gramEnd"/>
            <w:r>
              <w:rPr>
                <w:rFonts w:ascii="Arial" w:eastAsia="Arial" w:hAnsi="Arial" w:cs="Arial"/>
                <w:color w:val="444444"/>
                <w:sz w:val="18"/>
                <w:szCs w:val="18"/>
              </w:rPr>
              <w:t xml:space="preserve">  I = Informed (kept updated). The OSC retains Accountable status for all control areas. The OSC is never relieved of accountability by delegating operational tasks to an ESP.</w:t>
            </w:r>
          </w:p>
        </w:tc>
      </w:tr>
    </w:tbl>
    <w:p w14:paraId="1A128A29" w14:textId="77777777" w:rsidR="006A760F" w:rsidRDefault="006A760F">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490"/>
        <w:gridCol w:w="1490"/>
        <w:gridCol w:w="1490"/>
        <w:gridCol w:w="1490"/>
        <w:gridCol w:w="1000"/>
      </w:tblGrid>
      <w:tr w:rsidR="006A760F" w14:paraId="6DDF74F1" w14:textId="77777777">
        <w:tc>
          <w:tcPr>
            <w:tcW w:w="24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544AFEF1" w14:textId="77777777" w:rsidR="006A760F" w:rsidRDefault="005B4AD6">
            <w:r>
              <w:rPr>
                <w:rFonts w:ascii="Arial" w:eastAsia="Arial" w:hAnsi="Arial" w:cs="Arial"/>
                <w:b/>
                <w:bCs/>
                <w:color w:val="FFFFFF"/>
                <w:sz w:val="17"/>
                <w:szCs w:val="17"/>
              </w:rPr>
              <w:t>Control Area</w:t>
            </w:r>
          </w:p>
        </w:tc>
        <w:tc>
          <w:tcPr>
            <w:tcW w:w="149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5C23384B" w14:textId="77777777" w:rsidR="006A760F" w:rsidRDefault="005B4AD6">
            <w:pPr>
              <w:jc w:val="center"/>
            </w:pPr>
            <w:r>
              <w:rPr>
                <w:rFonts w:ascii="Arial" w:eastAsia="Arial" w:hAnsi="Arial" w:cs="Arial"/>
                <w:b/>
                <w:bCs/>
                <w:color w:val="FFFFFF"/>
                <w:sz w:val="16"/>
                <w:szCs w:val="16"/>
              </w:rPr>
              <w:t>OSC Responsible</w:t>
            </w:r>
          </w:p>
        </w:tc>
        <w:tc>
          <w:tcPr>
            <w:tcW w:w="149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4E337FCB" w14:textId="77777777" w:rsidR="006A760F" w:rsidRDefault="005B4AD6">
            <w:pPr>
              <w:jc w:val="center"/>
            </w:pPr>
            <w:r>
              <w:rPr>
                <w:rFonts w:ascii="Arial" w:eastAsia="Arial" w:hAnsi="Arial" w:cs="Arial"/>
                <w:b/>
                <w:bCs/>
                <w:color w:val="FFFFFF"/>
                <w:sz w:val="16"/>
                <w:szCs w:val="16"/>
              </w:rPr>
              <w:t>OSC Accountable</w:t>
            </w:r>
          </w:p>
        </w:tc>
        <w:tc>
          <w:tcPr>
            <w:tcW w:w="149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28BA73D3" w14:textId="77777777" w:rsidR="006A760F" w:rsidRDefault="005B4AD6">
            <w:pPr>
              <w:jc w:val="center"/>
            </w:pPr>
            <w:r>
              <w:rPr>
                <w:rFonts w:ascii="Arial" w:eastAsia="Arial" w:hAnsi="Arial" w:cs="Arial"/>
                <w:b/>
                <w:bCs/>
                <w:color w:val="FFFFFF"/>
                <w:sz w:val="16"/>
                <w:szCs w:val="16"/>
              </w:rPr>
              <w:t>ESP Responsible</w:t>
            </w:r>
          </w:p>
        </w:tc>
        <w:tc>
          <w:tcPr>
            <w:tcW w:w="149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13FA40C5" w14:textId="77777777" w:rsidR="006A760F" w:rsidRDefault="005B4AD6">
            <w:pPr>
              <w:jc w:val="center"/>
            </w:pPr>
            <w:r>
              <w:rPr>
                <w:rFonts w:ascii="Arial" w:eastAsia="Arial" w:hAnsi="Arial" w:cs="Arial"/>
                <w:b/>
                <w:bCs/>
                <w:color w:val="FFFFFF"/>
                <w:sz w:val="16"/>
                <w:szCs w:val="16"/>
              </w:rPr>
              <w:t>ESP Consulted</w:t>
            </w:r>
          </w:p>
        </w:tc>
        <w:tc>
          <w:tcPr>
            <w:tcW w:w="10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02937440" w14:textId="77777777" w:rsidR="006A760F" w:rsidRDefault="005B4AD6">
            <w:pPr>
              <w:jc w:val="center"/>
            </w:pPr>
            <w:r>
              <w:rPr>
                <w:rFonts w:ascii="Arial" w:eastAsia="Arial" w:hAnsi="Arial" w:cs="Arial"/>
                <w:b/>
                <w:bCs/>
                <w:color w:val="FFFFFF"/>
                <w:sz w:val="16"/>
                <w:szCs w:val="16"/>
              </w:rPr>
              <w:t>ESP Informed</w:t>
            </w:r>
          </w:p>
        </w:tc>
      </w:tr>
      <w:tr w:rsidR="006A760F" w14:paraId="2026F590"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30963C83" w14:textId="77777777" w:rsidR="006A760F" w:rsidRDefault="005B4AD6">
            <w:r>
              <w:rPr>
                <w:rFonts w:ascii="Arial" w:eastAsia="Arial" w:hAnsi="Arial" w:cs="Arial"/>
                <w:b/>
                <w:bCs/>
                <w:color w:val="333333"/>
                <w:sz w:val="17"/>
                <w:szCs w:val="17"/>
              </w:rPr>
              <w:t>Policy Approval</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0E9C3AD8"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1A8A2E5D"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42215A9C"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149DEEB0" w14:textId="77777777" w:rsidR="006A760F" w:rsidRDefault="006A760F">
            <w:pPr>
              <w:jc w:val="center"/>
            </w:pPr>
          </w:p>
        </w:tc>
        <w:tc>
          <w:tcPr>
            <w:tcW w:w="100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09DA8B84" w14:textId="77777777" w:rsidR="006A760F" w:rsidRDefault="005B4AD6">
            <w:pPr>
              <w:jc w:val="center"/>
            </w:pPr>
            <w:r>
              <w:rPr>
                <w:rFonts w:ascii="Arial" w:eastAsia="Arial" w:hAnsi="Arial" w:cs="Arial"/>
                <w:b/>
                <w:bCs/>
                <w:color w:val="1F3864"/>
                <w:sz w:val="17"/>
                <w:szCs w:val="17"/>
              </w:rPr>
              <w:t>X</w:t>
            </w:r>
          </w:p>
        </w:tc>
      </w:tr>
      <w:tr w:rsidR="006A760F" w14:paraId="4A6FC26D"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11A7480B" w14:textId="77777777" w:rsidR="006A760F" w:rsidRDefault="005B4AD6">
            <w:r>
              <w:rPr>
                <w:rFonts w:ascii="Arial" w:eastAsia="Arial" w:hAnsi="Arial" w:cs="Arial"/>
                <w:b/>
                <w:bCs/>
                <w:color w:val="333333"/>
                <w:sz w:val="17"/>
                <w:szCs w:val="17"/>
              </w:rPr>
              <w:t>Policy Drafting</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59838059"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24DFB292"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34D25585"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042797ED"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7DFC12F2" w14:textId="77777777" w:rsidR="006A760F" w:rsidRDefault="006A760F">
            <w:pPr>
              <w:jc w:val="center"/>
            </w:pPr>
          </w:p>
        </w:tc>
      </w:tr>
      <w:tr w:rsidR="006A760F" w14:paraId="138B0839"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3C82BAD2" w14:textId="77777777" w:rsidR="006A760F" w:rsidRDefault="005B4AD6">
            <w:r>
              <w:rPr>
                <w:rFonts w:ascii="Arial" w:eastAsia="Arial" w:hAnsi="Arial" w:cs="Arial"/>
                <w:b/>
                <w:bCs/>
                <w:color w:val="333333"/>
                <w:sz w:val="17"/>
                <w:szCs w:val="17"/>
              </w:rPr>
              <w:t>SSP Ownership</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7E45E15A"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59E33C72"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7D92B9E7"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00F2C09E"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7BD41DE0" w14:textId="77777777" w:rsidR="006A760F" w:rsidRDefault="006A760F">
            <w:pPr>
              <w:jc w:val="center"/>
            </w:pPr>
          </w:p>
        </w:tc>
      </w:tr>
      <w:tr w:rsidR="006A760F" w14:paraId="14082153"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57C73CA9" w14:textId="77777777" w:rsidR="006A760F" w:rsidRDefault="005B4AD6">
            <w:r>
              <w:rPr>
                <w:rFonts w:ascii="Arial" w:eastAsia="Arial" w:hAnsi="Arial" w:cs="Arial"/>
                <w:b/>
                <w:bCs/>
                <w:color w:val="333333"/>
                <w:sz w:val="17"/>
                <w:szCs w:val="17"/>
              </w:rPr>
              <w:t>Enclave Configuration</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116F03F4"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6AF751F9"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2D10AF59" w14:textId="77777777" w:rsidR="006A760F" w:rsidRDefault="005B4AD6">
            <w:pPr>
              <w:jc w:val="center"/>
            </w:pPr>
            <w:r>
              <w:rPr>
                <w:rFonts w:ascii="Arial" w:eastAsia="Arial" w:hAnsi="Arial" w:cs="Arial"/>
                <w:b/>
                <w:bCs/>
                <w:color w:val="1F3864"/>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7423C6C4" w14:textId="77777777" w:rsidR="006A760F" w:rsidRDefault="006A760F">
            <w:pPr>
              <w:jc w:val="center"/>
            </w:pPr>
          </w:p>
        </w:tc>
        <w:tc>
          <w:tcPr>
            <w:tcW w:w="100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1B8D3A73" w14:textId="77777777" w:rsidR="006A760F" w:rsidRDefault="005B4AD6">
            <w:pPr>
              <w:jc w:val="center"/>
            </w:pPr>
            <w:r>
              <w:rPr>
                <w:rFonts w:ascii="Arial" w:eastAsia="Arial" w:hAnsi="Arial" w:cs="Arial"/>
                <w:b/>
                <w:bCs/>
                <w:color w:val="1F3864"/>
                <w:sz w:val="17"/>
                <w:szCs w:val="17"/>
              </w:rPr>
              <w:t>X</w:t>
            </w:r>
          </w:p>
        </w:tc>
      </w:tr>
      <w:tr w:rsidR="006A760F" w14:paraId="7EB071D3"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16F334F0" w14:textId="77777777" w:rsidR="006A760F" w:rsidRDefault="005B4AD6">
            <w:r>
              <w:rPr>
                <w:rFonts w:ascii="Arial" w:eastAsia="Arial" w:hAnsi="Arial" w:cs="Arial"/>
                <w:b/>
                <w:bCs/>
                <w:color w:val="333333"/>
                <w:sz w:val="17"/>
                <w:szCs w:val="17"/>
              </w:rPr>
              <w:t>Privileged Access Management</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0B428F1E"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137920A8"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28E68DB2"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2FD6B623"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5B1639B3" w14:textId="77777777" w:rsidR="006A760F" w:rsidRDefault="006A760F">
            <w:pPr>
              <w:jc w:val="center"/>
            </w:pPr>
          </w:p>
        </w:tc>
      </w:tr>
      <w:tr w:rsidR="006A760F" w14:paraId="545623E8"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520B97C6" w14:textId="77777777" w:rsidR="006A760F" w:rsidRDefault="005B4AD6">
            <w:r>
              <w:rPr>
                <w:rFonts w:ascii="Arial" w:eastAsia="Arial" w:hAnsi="Arial" w:cs="Arial"/>
                <w:b/>
                <w:bCs/>
                <w:color w:val="333333"/>
                <w:sz w:val="17"/>
                <w:szCs w:val="17"/>
              </w:rPr>
              <w:t>Logging &amp; Monitoring</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21CA64F8"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6C902FFE"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728E226D"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51CB92E0"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09CE8F25" w14:textId="77777777" w:rsidR="006A760F" w:rsidRDefault="006A760F">
            <w:pPr>
              <w:jc w:val="center"/>
            </w:pPr>
          </w:p>
        </w:tc>
      </w:tr>
      <w:tr w:rsidR="006A760F" w14:paraId="25C2CA58"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07AC4E3B" w14:textId="77777777" w:rsidR="006A760F" w:rsidRDefault="005B4AD6">
            <w:r>
              <w:rPr>
                <w:rFonts w:ascii="Arial" w:eastAsia="Arial" w:hAnsi="Arial" w:cs="Arial"/>
                <w:b/>
                <w:bCs/>
                <w:color w:val="333333"/>
                <w:sz w:val="17"/>
                <w:szCs w:val="17"/>
              </w:rPr>
              <w:t>Incident Response</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7841E3D4"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12CE3747"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0C2B4AA1"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73DABFED"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2A01E534" w14:textId="77777777" w:rsidR="006A760F" w:rsidRDefault="005B4AD6">
            <w:pPr>
              <w:jc w:val="center"/>
            </w:pPr>
            <w:r>
              <w:rPr>
                <w:rFonts w:ascii="Arial" w:eastAsia="Arial" w:hAnsi="Arial" w:cs="Arial"/>
                <w:b/>
                <w:bCs/>
                <w:color w:val="1F3864"/>
                <w:sz w:val="17"/>
                <w:szCs w:val="17"/>
              </w:rPr>
              <w:t>X</w:t>
            </w:r>
          </w:p>
        </w:tc>
      </w:tr>
      <w:tr w:rsidR="006A760F" w14:paraId="5211BE6F"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3CD94C43" w14:textId="77777777" w:rsidR="006A760F" w:rsidRDefault="005B4AD6">
            <w:r>
              <w:rPr>
                <w:rFonts w:ascii="Arial" w:eastAsia="Arial" w:hAnsi="Arial" w:cs="Arial"/>
                <w:b/>
                <w:bCs/>
                <w:color w:val="333333"/>
                <w:sz w:val="17"/>
                <w:szCs w:val="17"/>
              </w:rPr>
              <w:t>Change Management</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774F8C50"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41C6E16F"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05C32948"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2B136D59"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2356C008" w14:textId="77777777" w:rsidR="006A760F" w:rsidRDefault="005B4AD6">
            <w:pPr>
              <w:jc w:val="center"/>
            </w:pPr>
            <w:r>
              <w:rPr>
                <w:rFonts w:ascii="Arial" w:eastAsia="Arial" w:hAnsi="Arial" w:cs="Arial"/>
                <w:b/>
                <w:bCs/>
                <w:color w:val="1F3864"/>
                <w:sz w:val="17"/>
                <w:szCs w:val="17"/>
              </w:rPr>
              <w:t>X</w:t>
            </w:r>
          </w:p>
        </w:tc>
      </w:tr>
      <w:tr w:rsidR="006A760F" w14:paraId="0962E5C4"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0DC385C3" w14:textId="77777777" w:rsidR="006A760F" w:rsidRDefault="005B4AD6">
            <w:r>
              <w:rPr>
                <w:rFonts w:ascii="Arial" w:eastAsia="Arial" w:hAnsi="Arial" w:cs="Arial"/>
                <w:b/>
                <w:bCs/>
                <w:color w:val="333333"/>
                <w:sz w:val="17"/>
                <w:szCs w:val="17"/>
              </w:rPr>
              <w:t>Vulnerability Management</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20EF50B9"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17F89C9B"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379CA027"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0EB8DAB4"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64AAD965" w14:textId="77777777" w:rsidR="006A760F" w:rsidRDefault="006A760F">
            <w:pPr>
              <w:jc w:val="center"/>
            </w:pPr>
          </w:p>
        </w:tc>
      </w:tr>
      <w:tr w:rsidR="006A760F" w14:paraId="5AD55747"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32153D29" w14:textId="77777777" w:rsidR="006A760F" w:rsidRDefault="005B4AD6">
            <w:r>
              <w:rPr>
                <w:rFonts w:ascii="Arial" w:eastAsia="Arial" w:hAnsi="Arial" w:cs="Arial"/>
                <w:b/>
                <w:bCs/>
                <w:color w:val="333333"/>
                <w:sz w:val="17"/>
                <w:szCs w:val="17"/>
              </w:rPr>
              <w:t>Backup &amp; Recovery</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73D82722"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46622A01"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3EF23C82"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6E082064"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48CF7C03" w14:textId="77777777" w:rsidR="006A760F" w:rsidRDefault="006A760F">
            <w:pPr>
              <w:jc w:val="center"/>
            </w:pPr>
          </w:p>
        </w:tc>
      </w:tr>
      <w:tr w:rsidR="006A760F" w14:paraId="33D25862"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458236FA" w14:textId="77777777" w:rsidR="006A760F" w:rsidRDefault="005B4AD6">
            <w:r>
              <w:rPr>
                <w:rFonts w:ascii="Arial" w:eastAsia="Arial" w:hAnsi="Arial" w:cs="Arial"/>
                <w:b/>
                <w:bCs/>
                <w:color w:val="333333"/>
                <w:sz w:val="17"/>
                <w:szCs w:val="17"/>
              </w:rPr>
              <w:t>Security Oversight</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2F83FC26"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756D03C9"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723728E2"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49285179"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00" w:type="dxa"/>
              <w:bottom w:w="80" w:type="dxa"/>
              <w:right w:w="100" w:type="dxa"/>
            </w:tcMar>
            <w:vAlign w:val="center"/>
          </w:tcPr>
          <w:p w14:paraId="2ACA7409" w14:textId="77777777" w:rsidR="006A760F" w:rsidRDefault="006A760F">
            <w:pPr>
              <w:jc w:val="center"/>
            </w:pPr>
          </w:p>
        </w:tc>
      </w:tr>
      <w:tr w:rsidR="006A760F" w14:paraId="0AD6AE96" w14:textId="77777777">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27957CA6" w14:textId="77777777" w:rsidR="006A760F" w:rsidRDefault="005B4AD6">
            <w:r>
              <w:rPr>
                <w:rFonts w:ascii="Arial" w:eastAsia="Arial" w:hAnsi="Arial" w:cs="Arial"/>
                <w:b/>
                <w:bCs/>
                <w:color w:val="333333"/>
                <w:sz w:val="17"/>
                <w:szCs w:val="17"/>
              </w:rPr>
              <w:lastRenderedPageBreak/>
              <w:t>ESP Access Termination</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2CDBA600"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E2F0D9"/>
            <w:tcMar>
              <w:top w:w="80" w:type="dxa"/>
              <w:left w:w="100" w:type="dxa"/>
              <w:bottom w:w="80" w:type="dxa"/>
              <w:right w:w="100" w:type="dxa"/>
            </w:tcMar>
            <w:vAlign w:val="center"/>
          </w:tcPr>
          <w:p w14:paraId="017C2299" w14:textId="77777777" w:rsidR="006A760F" w:rsidRDefault="005B4AD6">
            <w:pPr>
              <w:jc w:val="center"/>
            </w:pPr>
            <w:r>
              <w:rPr>
                <w:rFonts w:ascii="Arial" w:eastAsia="Arial" w:hAnsi="Arial" w:cs="Arial"/>
                <w:b/>
                <w:bCs/>
                <w:color w:val="1E6B2E"/>
                <w:sz w:val="17"/>
                <w:szCs w:val="17"/>
              </w:rPr>
              <w:t>X</w:t>
            </w:r>
          </w:p>
        </w:tc>
        <w:tc>
          <w:tcPr>
            <w:tcW w:w="149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1247FDD5" w14:textId="77777777" w:rsidR="006A760F" w:rsidRDefault="006A760F">
            <w:pPr>
              <w:jc w:val="center"/>
            </w:pPr>
          </w:p>
        </w:tc>
        <w:tc>
          <w:tcPr>
            <w:tcW w:w="1490" w:type="dxa"/>
            <w:tcBorders>
              <w:top w:val="single" w:sz="1" w:space="0" w:color="CCCCCC"/>
              <w:left w:val="single" w:sz="1" w:space="0" w:color="CCCCCC"/>
              <w:bottom w:val="single" w:sz="1" w:space="0" w:color="CCCCCC"/>
              <w:right w:val="single" w:sz="1" w:space="0" w:color="CCCCCC"/>
            </w:tcBorders>
            <w:shd w:val="clear" w:color="auto" w:fill="DEEAF1"/>
            <w:tcMar>
              <w:top w:w="80" w:type="dxa"/>
              <w:left w:w="100" w:type="dxa"/>
              <w:bottom w:w="80" w:type="dxa"/>
              <w:right w:w="100" w:type="dxa"/>
            </w:tcMar>
            <w:vAlign w:val="center"/>
          </w:tcPr>
          <w:p w14:paraId="6EE19B56" w14:textId="77777777" w:rsidR="006A760F" w:rsidRDefault="005B4AD6">
            <w:pPr>
              <w:jc w:val="center"/>
            </w:pPr>
            <w:r>
              <w:rPr>
                <w:rFonts w:ascii="Arial" w:eastAsia="Arial" w:hAnsi="Arial" w:cs="Arial"/>
                <w:b/>
                <w:bCs/>
                <w:color w:val="1F3864"/>
                <w:sz w:val="17"/>
                <w:szCs w:val="17"/>
              </w:rPr>
              <w:t>X</w:t>
            </w:r>
          </w:p>
        </w:tc>
        <w:tc>
          <w:tcPr>
            <w:tcW w:w="1000" w:type="dxa"/>
            <w:tcBorders>
              <w:top w:val="single" w:sz="1" w:space="0" w:color="CCCCCC"/>
              <w:left w:val="single" w:sz="1" w:space="0" w:color="CCCCCC"/>
              <w:bottom w:val="single" w:sz="1" w:space="0" w:color="CCCCCC"/>
              <w:right w:val="single" w:sz="1" w:space="0" w:color="CCCCCC"/>
            </w:tcBorders>
            <w:shd w:val="clear" w:color="auto" w:fill="F9F9F9"/>
            <w:tcMar>
              <w:top w:w="80" w:type="dxa"/>
              <w:left w:w="100" w:type="dxa"/>
              <w:bottom w:w="80" w:type="dxa"/>
              <w:right w:w="100" w:type="dxa"/>
            </w:tcMar>
            <w:vAlign w:val="center"/>
          </w:tcPr>
          <w:p w14:paraId="6011181B" w14:textId="77777777" w:rsidR="006A760F" w:rsidRDefault="006A760F">
            <w:pPr>
              <w:jc w:val="center"/>
            </w:pPr>
          </w:p>
        </w:tc>
      </w:tr>
    </w:tbl>
    <w:p w14:paraId="68F45DBF" w14:textId="77777777" w:rsidR="006A760F" w:rsidRDefault="006A760F">
      <w:pPr>
        <w:spacing w:before="60" w:after="40"/>
      </w:pPr>
    </w:p>
    <w:p w14:paraId="01BD5D81" w14:textId="77777777" w:rsidR="006A760F" w:rsidRDefault="005B4AD6">
      <w:pPr>
        <w:spacing w:before="60" w:after="60"/>
      </w:pPr>
      <w:r>
        <w:rPr>
          <w:rFonts w:ascii="Arial" w:eastAsia="Arial" w:hAnsi="Arial" w:cs="Arial"/>
          <w:color w:val="666666"/>
          <w:sz w:val="17"/>
          <w:szCs w:val="17"/>
        </w:rPr>
        <w:t>Note: Enclave Configuration assigns ESP as Responsible (performs the work) and OSC as Accountable (owns the outcome). The OSC must maintain oversight of all ESP configuration activity through change management procedures and log review. Policy Drafting assigns OSC as both Responsible and Accountable — the ESP may be consulted but policy ownership remains entirely with the OSC.</w:t>
      </w:r>
    </w:p>
    <w:p w14:paraId="58B8CDAB" w14:textId="77777777" w:rsidR="006A760F" w:rsidRDefault="006A760F">
      <w:pPr>
        <w:spacing w:before="240" w:after="120"/>
      </w:pPr>
    </w:p>
    <w:p w14:paraId="44B6EE9E" w14:textId="77777777" w:rsidR="006A760F" w:rsidRDefault="005B4AD6">
      <w:pPr>
        <w:pBdr>
          <w:bottom w:val="single" w:sz="6" w:space="4" w:color="1F3864"/>
        </w:pBdr>
        <w:spacing w:before="280" w:after="120"/>
      </w:pPr>
      <w:r>
        <w:rPr>
          <w:rFonts w:ascii="Arial" w:eastAsia="Arial" w:hAnsi="Arial" w:cs="Arial"/>
          <w:b/>
          <w:bCs/>
          <w:color w:val="1F3864"/>
          <w:sz w:val="28"/>
          <w:szCs w:val="28"/>
        </w:rPr>
        <w:t>3. ESP Involvement Diagram</w:t>
      </w:r>
    </w:p>
    <w:p w14:paraId="38ECF78B" w14:textId="77777777" w:rsidR="006A760F" w:rsidRDefault="006A760F">
      <w:pPr>
        <w:spacing w:before="60" w:after="60"/>
      </w:pPr>
    </w:p>
    <w:p w14:paraId="75E168A8" w14:textId="77777777" w:rsidR="006A760F" w:rsidRDefault="005B4AD6">
      <w:pPr>
        <w:spacing w:before="60" w:after="60"/>
      </w:pPr>
      <w:r>
        <w:rPr>
          <w:rFonts w:ascii="Arial" w:eastAsia="Arial" w:hAnsi="Arial" w:cs="Arial"/>
          <w:color w:val="333333"/>
          <w:sz w:val="19"/>
          <w:szCs w:val="19"/>
        </w:rPr>
        <w:t>The diagram below illustrates the assessment boundary — what is inside scope and what is outside scope for the CMMC Level 2 assessment. ESP personnel are inside the boundary when performing privileged work within the GCC-High enclave. ESP infrastructure remains outside the boundary.</w:t>
      </w:r>
    </w:p>
    <w:p w14:paraId="6378FB13" w14:textId="77777777" w:rsidR="006A760F" w:rsidRDefault="006A760F">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60"/>
        <w:gridCol w:w="240"/>
        <w:gridCol w:w="4560"/>
      </w:tblGrid>
      <w:tr w:rsidR="006A760F" w14:paraId="2D952B0C" w14:textId="77777777">
        <w:tc>
          <w:tcPr>
            <w:tcW w:w="4560" w:type="dxa"/>
            <w:tcBorders>
              <w:top w:val="single" w:sz="4" w:space="0" w:color="1E6B2E"/>
              <w:left w:val="single" w:sz="4" w:space="0" w:color="1E6B2E"/>
              <w:bottom w:val="single" w:sz="4" w:space="0" w:color="1E6B2E"/>
              <w:right w:val="single" w:sz="4" w:space="0" w:color="1E6B2E"/>
            </w:tcBorders>
            <w:shd w:val="clear" w:color="auto" w:fill="E2F0D9"/>
            <w:tcMar>
              <w:top w:w="160" w:type="dxa"/>
              <w:left w:w="180" w:type="dxa"/>
              <w:bottom w:w="160" w:type="dxa"/>
              <w:right w:w="180" w:type="dxa"/>
            </w:tcMar>
          </w:tcPr>
          <w:p w14:paraId="33450675" w14:textId="77777777" w:rsidR="006A760F" w:rsidRDefault="005B4AD6">
            <w:pPr>
              <w:spacing w:after="80"/>
            </w:pPr>
            <w:r>
              <w:rPr>
                <w:rFonts w:ascii="Arial" w:eastAsia="Arial" w:hAnsi="Arial" w:cs="Arial"/>
                <w:b/>
                <w:bCs/>
                <w:color w:val="1E6B2E"/>
                <w:sz w:val="18"/>
                <w:szCs w:val="18"/>
              </w:rPr>
              <w:t>INSIDE Assessment Boundary</w:t>
            </w:r>
          </w:p>
          <w:p w14:paraId="7A158853" w14:textId="77777777" w:rsidR="006A760F" w:rsidRDefault="005B4AD6">
            <w:pPr>
              <w:spacing w:after="40"/>
            </w:pPr>
            <w:r>
              <w:rPr>
                <w:rFonts w:ascii="Arial" w:eastAsia="Arial" w:hAnsi="Arial" w:cs="Arial"/>
                <w:b/>
                <w:bCs/>
                <w:color w:val="1F3864"/>
                <w:sz w:val="17"/>
                <w:szCs w:val="17"/>
              </w:rPr>
              <w:t>GCC-High Enclave</w:t>
            </w:r>
          </w:p>
          <w:p w14:paraId="271BBF7B" w14:textId="77777777" w:rsidR="006A760F" w:rsidRDefault="005B4AD6">
            <w:pPr>
              <w:pStyle w:val="ListParagraph"/>
              <w:numPr>
                <w:ilvl w:val="0"/>
                <w:numId w:val="2"/>
              </w:numPr>
              <w:spacing w:before="30" w:after="30"/>
            </w:pPr>
            <w:r>
              <w:rPr>
                <w:rFonts w:ascii="Arial" w:eastAsia="Arial" w:hAnsi="Arial" w:cs="Arial"/>
                <w:color w:val="333333"/>
                <w:sz w:val="16"/>
                <w:szCs w:val="16"/>
              </w:rPr>
              <w:t>OSC personnel</w:t>
            </w:r>
          </w:p>
          <w:p w14:paraId="6E8D97BD" w14:textId="77777777" w:rsidR="006A760F" w:rsidRDefault="005B4AD6">
            <w:pPr>
              <w:pStyle w:val="ListParagraph"/>
              <w:numPr>
                <w:ilvl w:val="0"/>
                <w:numId w:val="2"/>
              </w:numPr>
              <w:spacing w:before="30" w:after="30"/>
            </w:pPr>
            <w:r>
              <w:rPr>
                <w:rFonts w:ascii="Arial" w:eastAsia="Arial" w:hAnsi="Arial" w:cs="Arial"/>
                <w:color w:val="333333"/>
                <w:sz w:val="16"/>
                <w:szCs w:val="16"/>
              </w:rPr>
              <w:t>ESP personnel (privileged administrators)</w:t>
            </w:r>
          </w:p>
          <w:p w14:paraId="4903277E" w14:textId="77777777" w:rsidR="006A760F" w:rsidRDefault="005B4AD6">
            <w:pPr>
              <w:pStyle w:val="ListParagraph"/>
              <w:numPr>
                <w:ilvl w:val="0"/>
                <w:numId w:val="2"/>
              </w:numPr>
              <w:spacing w:before="30" w:after="30"/>
            </w:pPr>
            <w:r>
              <w:rPr>
                <w:rFonts w:ascii="Arial" w:eastAsia="Arial" w:hAnsi="Arial" w:cs="Arial"/>
                <w:color w:val="333333"/>
                <w:sz w:val="16"/>
                <w:szCs w:val="16"/>
              </w:rPr>
              <w:t>OSC-controlled privileged accounts</w:t>
            </w:r>
          </w:p>
          <w:p w14:paraId="190EF41A" w14:textId="77777777" w:rsidR="006A760F" w:rsidRDefault="005B4AD6">
            <w:pPr>
              <w:pStyle w:val="ListParagraph"/>
              <w:numPr>
                <w:ilvl w:val="0"/>
                <w:numId w:val="2"/>
              </w:numPr>
              <w:spacing w:before="30" w:after="30"/>
            </w:pPr>
            <w:r>
              <w:rPr>
                <w:rFonts w:ascii="Arial" w:eastAsia="Arial" w:hAnsi="Arial" w:cs="Arial"/>
                <w:color w:val="333333"/>
                <w:sz w:val="16"/>
                <w:szCs w:val="16"/>
              </w:rPr>
              <w:t>Enclave configurations</w:t>
            </w:r>
          </w:p>
          <w:p w14:paraId="6DB74F6D" w14:textId="77777777" w:rsidR="006A760F" w:rsidRDefault="005B4AD6">
            <w:pPr>
              <w:pStyle w:val="ListParagraph"/>
              <w:numPr>
                <w:ilvl w:val="0"/>
                <w:numId w:val="2"/>
              </w:numPr>
              <w:spacing w:before="30" w:after="30"/>
            </w:pPr>
            <w:r>
              <w:rPr>
                <w:rFonts w:ascii="Arial" w:eastAsia="Arial" w:hAnsi="Arial" w:cs="Arial"/>
                <w:color w:val="333333"/>
                <w:sz w:val="16"/>
                <w:szCs w:val="16"/>
              </w:rPr>
              <w:t>Audit logs and monitoring data</w:t>
            </w:r>
          </w:p>
          <w:p w14:paraId="2C6EFB77" w14:textId="77777777" w:rsidR="006A760F" w:rsidRDefault="005B4AD6">
            <w:pPr>
              <w:pStyle w:val="ListParagraph"/>
              <w:numPr>
                <w:ilvl w:val="0"/>
                <w:numId w:val="2"/>
              </w:numPr>
              <w:spacing w:before="30" w:after="30"/>
            </w:pPr>
            <w:r>
              <w:rPr>
                <w:rFonts w:ascii="Arial" w:eastAsia="Arial" w:hAnsi="Arial" w:cs="Arial"/>
                <w:color w:val="333333"/>
                <w:sz w:val="16"/>
                <w:szCs w:val="16"/>
              </w:rPr>
              <w:t>Evidence and documentation</w:t>
            </w:r>
          </w:p>
          <w:p w14:paraId="38B1C93D" w14:textId="77777777" w:rsidR="006A760F" w:rsidRDefault="005B4AD6">
            <w:pPr>
              <w:pStyle w:val="ListParagraph"/>
              <w:numPr>
                <w:ilvl w:val="0"/>
                <w:numId w:val="2"/>
              </w:numPr>
              <w:spacing w:before="30" w:after="30"/>
            </w:pPr>
            <w:r>
              <w:rPr>
                <w:rFonts w:ascii="Arial" w:eastAsia="Arial" w:hAnsi="Arial" w:cs="Arial"/>
                <w:color w:val="333333"/>
                <w:sz w:val="16"/>
                <w:szCs w:val="16"/>
              </w:rPr>
              <w:t>Change management workflows</w:t>
            </w:r>
          </w:p>
          <w:p w14:paraId="17820E2B" w14:textId="77777777" w:rsidR="006A760F" w:rsidRDefault="005B4AD6">
            <w:pPr>
              <w:pStyle w:val="ListParagraph"/>
              <w:numPr>
                <w:ilvl w:val="0"/>
                <w:numId w:val="2"/>
              </w:numPr>
              <w:spacing w:before="30" w:after="30"/>
            </w:pPr>
            <w:r>
              <w:rPr>
                <w:rFonts w:ascii="Arial" w:eastAsia="Arial" w:hAnsi="Arial" w:cs="Arial"/>
                <w:color w:val="333333"/>
                <w:sz w:val="16"/>
                <w:szCs w:val="16"/>
              </w:rPr>
              <w:t>Incident response workflows</w:t>
            </w:r>
          </w:p>
          <w:p w14:paraId="73663566" w14:textId="77777777" w:rsidR="006A760F" w:rsidRDefault="005B4AD6">
            <w:pPr>
              <w:pStyle w:val="ListParagraph"/>
              <w:numPr>
                <w:ilvl w:val="0"/>
                <w:numId w:val="2"/>
              </w:numPr>
              <w:spacing w:before="30" w:after="30"/>
            </w:pPr>
            <w:r>
              <w:rPr>
                <w:rFonts w:ascii="Arial" w:eastAsia="Arial" w:hAnsi="Arial" w:cs="Arial"/>
                <w:color w:val="333333"/>
                <w:sz w:val="16"/>
                <w:szCs w:val="16"/>
              </w:rPr>
              <w:t>CUI systems and data</w:t>
            </w:r>
          </w:p>
        </w:tc>
        <w:tc>
          <w:tcPr>
            <w:tcW w:w="240" w:type="dxa"/>
            <w:tcBorders>
              <w:top w:val="none" w:sz="0" w:space="0" w:color="FFFFFF"/>
              <w:left w:val="none" w:sz="0" w:space="0" w:color="FFFFFF"/>
              <w:bottom w:val="none" w:sz="0" w:space="0" w:color="FFFFFF"/>
              <w:right w:val="none" w:sz="0" w:space="0" w:color="FFFFFF"/>
            </w:tcBorders>
          </w:tcPr>
          <w:p w14:paraId="331B8995" w14:textId="77777777" w:rsidR="006A760F" w:rsidRDefault="006A760F"/>
        </w:tc>
        <w:tc>
          <w:tcPr>
            <w:tcW w:w="4560" w:type="dxa"/>
            <w:tcBorders>
              <w:top w:val="single" w:sz="4" w:space="0" w:color="C0392B"/>
              <w:left w:val="single" w:sz="4" w:space="0" w:color="C0392B"/>
              <w:bottom w:val="single" w:sz="4" w:space="0" w:color="C0392B"/>
              <w:right w:val="single" w:sz="4" w:space="0" w:color="C0392B"/>
            </w:tcBorders>
            <w:shd w:val="clear" w:color="auto" w:fill="FCE4D6"/>
            <w:tcMar>
              <w:top w:w="160" w:type="dxa"/>
              <w:left w:w="180" w:type="dxa"/>
              <w:bottom w:w="160" w:type="dxa"/>
              <w:right w:w="180" w:type="dxa"/>
            </w:tcMar>
          </w:tcPr>
          <w:p w14:paraId="4279F8F6" w14:textId="77777777" w:rsidR="006A760F" w:rsidRDefault="005B4AD6">
            <w:pPr>
              <w:spacing w:after="80"/>
            </w:pPr>
            <w:r>
              <w:rPr>
                <w:rFonts w:ascii="Arial" w:eastAsia="Arial" w:hAnsi="Arial" w:cs="Arial"/>
                <w:b/>
                <w:bCs/>
                <w:color w:val="C0392B"/>
                <w:sz w:val="18"/>
                <w:szCs w:val="18"/>
              </w:rPr>
              <w:t>OUTSIDE Assessment Boundary</w:t>
            </w:r>
          </w:p>
          <w:p w14:paraId="5C50DB6B" w14:textId="77777777" w:rsidR="006A760F" w:rsidRDefault="005B4AD6">
            <w:pPr>
              <w:spacing w:after="40"/>
            </w:pPr>
            <w:r>
              <w:rPr>
                <w:rFonts w:ascii="Arial" w:eastAsia="Arial" w:hAnsi="Arial" w:cs="Arial"/>
                <w:b/>
                <w:bCs/>
                <w:color w:val="1F3864"/>
                <w:sz w:val="17"/>
                <w:szCs w:val="17"/>
              </w:rPr>
              <w:t>ESP Corporate Environment</w:t>
            </w:r>
          </w:p>
          <w:p w14:paraId="24FE80D9" w14:textId="77777777" w:rsidR="006A760F" w:rsidRDefault="005B4AD6">
            <w:pPr>
              <w:pStyle w:val="ListParagraph"/>
              <w:numPr>
                <w:ilvl w:val="0"/>
                <w:numId w:val="2"/>
              </w:numPr>
              <w:spacing w:before="30" w:after="30"/>
            </w:pPr>
            <w:r>
              <w:rPr>
                <w:rFonts w:ascii="Arial" w:eastAsia="Arial" w:hAnsi="Arial" w:cs="Arial"/>
                <w:color w:val="333333"/>
                <w:sz w:val="16"/>
                <w:szCs w:val="16"/>
              </w:rPr>
              <w:t>ESP corporate networks</w:t>
            </w:r>
          </w:p>
          <w:p w14:paraId="52A1CAAA" w14:textId="77777777" w:rsidR="006A760F" w:rsidRDefault="005B4AD6">
            <w:pPr>
              <w:pStyle w:val="ListParagraph"/>
              <w:numPr>
                <w:ilvl w:val="0"/>
                <w:numId w:val="2"/>
              </w:numPr>
              <w:spacing w:before="30" w:after="30"/>
            </w:pPr>
            <w:r>
              <w:rPr>
                <w:rFonts w:ascii="Arial" w:eastAsia="Arial" w:hAnsi="Arial" w:cs="Arial"/>
                <w:color w:val="333333"/>
                <w:sz w:val="16"/>
                <w:szCs w:val="16"/>
              </w:rPr>
              <w:t>ESP internal IT systems</w:t>
            </w:r>
          </w:p>
          <w:p w14:paraId="23E8C0B0" w14:textId="77777777" w:rsidR="006A760F" w:rsidRDefault="005B4AD6">
            <w:pPr>
              <w:pStyle w:val="ListParagraph"/>
              <w:numPr>
                <w:ilvl w:val="0"/>
                <w:numId w:val="2"/>
              </w:numPr>
              <w:spacing w:before="30" w:after="30"/>
            </w:pPr>
            <w:r>
              <w:rPr>
                <w:rFonts w:ascii="Arial" w:eastAsia="Arial" w:hAnsi="Arial" w:cs="Arial"/>
                <w:color w:val="333333"/>
                <w:sz w:val="16"/>
                <w:szCs w:val="16"/>
              </w:rPr>
              <w:t>ESP monitoring tools (non-GCC-High)</w:t>
            </w:r>
          </w:p>
          <w:p w14:paraId="3334ED1D" w14:textId="77777777" w:rsidR="006A760F" w:rsidRDefault="005B4AD6">
            <w:pPr>
              <w:pStyle w:val="ListParagraph"/>
              <w:numPr>
                <w:ilvl w:val="0"/>
                <w:numId w:val="2"/>
              </w:numPr>
              <w:spacing w:before="30" w:after="30"/>
            </w:pPr>
            <w:r>
              <w:rPr>
                <w:rFonts w:ascii="Arial" w:eastAsia="Arial" w:hAnsi="Arial" w:cs="Arial"/>
                <w:color w:val="333333"/>
                <w:sz w:val="16"/>
                <w:szCs w:val="16"/>
              </w:rPr>
              <w:t>ESP ticketing systems</w:t>
            </w:r>
          </w:p>
          <w:p w14:paraId="10794ED3" w14:textId="77777777" w:rsidR="006A760F" w:rsidRDefault="005B4AD6">
            <w:pPr>
              <w:pStyle w:val="ListParagraph"/>
              <w:numPr>
                <w:ilvl w:val="0"/>
                <w:numId w:val="2"/>
              </w:numPr>
              <w:spacing w:before="30" w:after="30"/>
            </w:pPr>
            <w:r>
              <w:rPr>
                <w:rFonts w:ascii="Arial" w:eastAsia="Arial" w:hAnsi="Arial" w:cs="Arial"/>
                <w:color w:val="333333"/>
                <w:sz w:val="16"/>
                <w:szCs w:val="16"/>
              </w:rPr>
              <w:t>ESP internal vulnerability management</w:t>
            </w:r>
          </w:p>
          <w:p w14:paraId="18D1AD9A" w14:textId="77777777" w:rsidR="006A760F" w:rsidRDefault="005B4AD6">
            <w:pPr>
              <w:pStyle w:val="ListParagraph"/>
              <w:numPr>
                <w:ilvl w:val="0"/>
                <w:numId w:val="2"/>
              </w:numPr>
              <w:spacing w:before="30" w:after="30"/>
            </w:pPr>
            <w:r>
              <w:rPr>
                <w:rFonts w:ascii="Arial" w:eastAsia="Arial" w:hAnsi="Arial" w:cs="Arial"/>
                <w:color w:val="333333"/>
                <w:sz w:val="16"/>
                <w:szCs w:val="16"/>
              </w:rPr>
              <w:t>ESP infrastructure not in GCC-High</w:t>
            </w:r>
          </w:p>
          <w:p w14:paraId="3EFDA238" w14:textId="77777777" w:rsidR="006A760F" w:rsidRDefault="005B4AD6">
            <w:pPr>
              <w:pStyle w:val="ListParagraph"/>
              <w:numPr>
                <w:ilvl w:val="0"/>
                <w:numId w:val="2"/>
              </w:numPr>
              <w:spacing w:before="30" w:after="30"/>
            </w:pPr>
            <w:r>
              <w:rPr>
                <w:rFonts w:ascii="Arial" w:eastAsia="Arial" w:hAnsi="Arial" w:cs="Arial"/>
                <w:color w:val="333333"/>
                <w:sz w:val="16"/>
                <w:szCs w:val="16"/>
              </w:rPr>
              <w:t>ESP internal policies unrelated to enclave</w:t>
            </w:r>
          </w:p>
          <w:p w14:paraId="23451DCE" w14:textId="77777777" w:rsidR="006A760F" w:rsidRDefault="005B4AD6">
            <w:pPr>
              <w:pStyle w:val="ListParagraph"/>
              <w:numPr>
                <w:ilvl w:val="0"/>
                <w:numId w:val="2"/>
              </w:numPr>
              <w:spacing w:before="30" w:after="30"/>
            </w:pPr>
            <w:r>
              <w:rPr>
                <w:rFonts w:ascii="Arial" w:eastAsia="Arial" w:hAnsi="Arial" w:cs="Arial"/>
                <w:color w:val="333333"/>
                <w:sz w:val="16"/>
                <w:szCs w:val="16"/>
              </w:rPr>
              <w:t>ESP FedRAMP status (not required)</w:t>
            </w:r>
          </w:p>
        </w:tc>
      </w:tr>
    </w:tbl>
    <w:p w14:paraId="4EA14293" w14:textId="77777777" w:rsidR="006A760F" w:rsidRDefault="006A760F">
      <w:pPr>
        <w:spacing w:before="60" w:after="40"/>
      </w:pPr>
    </w:p>
    <w:p w14:paraId="1B83EBBA" w14:textId="77777777" w:rsidR="006A760F" w:rsidRDefault="005B4AD6">
      <w:pPr>
        <w:spacing w:before="60" w:after="60"/>
      </w:pPr>
      <w:r>
        <w:rPr>
          <w:rFonts w:ascii="Arial" w:eastAsia="Arial" w:hAnsi="Arial" w:cs="Arial"/>
          <w:color w:val="666666"/>
          <w:sz w:val="17"/>
          <w:szCs w:val="17"/>
        </w:rPr>
        <w:t>ESP personnel access the GCC-High enclave exclusively through OSC-controlled privileged accounts. All activity is logged within the enclave. ESP corporate infrastructure — networks, tools, systems — has no influence on enclave security controls and is outside the assessment boundary.</w:t>
      </w:r>
    </w:p>
    <w:p w14:paraId="2EF70EBF" w14:textId="77777777" w:rsidR="006A760F" w:rsidRDefault="006A760F">
      <w:pPr>
        <w:spacing w:before="240" w:after="120"/>
      </w:pPr>
    </w:p>
    <w:p w14:paraId="56FD7680" w14:textId="77777777" w:rsidR="006A760F" w:rsidRDefault="005B4AD6">
      <w:pPr>
        <w:pBdr>
          <w:bottom w:val="single" w:sz="6" w:space="4" w:color="1F3864"/>
        </w:pBdr>
        <w:spacing w:before="280" w:after="120"/>
      </w:pPr>
      <w:r>
        <w:rPr>
          <w:rFonts w:ascii="Arial" w:eastAsia="Arial" w:hAnsi="Arial" w:cs="Arial"/>
          <w:b/>
          <w:bCs/>
          <w:color w:val="1F3864"/>
          <w:sz w:val="28"/>
          <w:szCs w:val="28"/>
        </w:rPr>
        <w:t>4. Assessor Interview Questions</w:t>
      </w:r>
    </w:p>
    <w:p w14:paraId="54B7E06B" w14:textId="77777777" w:rsidR="006A760F" w:rsidRDefault="006A760F">
      <w:pPr>
        <w:spacing w:before="60" w:after="60"/>
      </w:pPr>
    </w:p>
    <w:p w14:paraId="2D29537F" w14:textId="77777777" w:rsidR="006A760F" w:rsidRDefault="005B4AD6">
      <w:pPr>
        <w:spacing w:before="60" w:after="60"/>
      </w:pPr>
      <w:r>
        <w:rPr>
          <w:rFonts w:ascii="Arial" w:eastAsia="Arial" w:hAnsi="Arial" w:cs="Arial"/>
          <w:color w:val="333333"/>
          <w:sz w:val="19"/>
          <w:szCs w:val="19"/>
        </w:rPr>
        <w:t>The following questions reflect what a C3PAO assessor will typically ask during a CMMC Level 2 assessment where an ESP is involved. Both ESP and OSC personnel should be prepared to answer these questions with documented evidence.</w:t>
      </w:r>
    </w:p>
    <w:p w14:paraId="2574F4D2" w14:textId="77777777" w:rsidR="006A760F" w:rsidRDefault="006A760F">
      <w:pPr>
        <w:spacing w:before="80" w:after="60"/>
      </w:pPr>
    </w:p>
    <w:p w14:paraId="12E0F349" w14:textId="77777777" w:rsidR="006A760F" w:rsidRDefault="005B4AD6">
      <w:pPr>
        <w:spacing w:before="200" w:after="80"/>
      </w:pPr>
      <w:r>
        <w:rPr>
          <w:rFonts w:ascii="Arial" w:eastAsia="Arial" w:hAnsi="Arial" w:cs="Arial"/>
          <w:b/>
          <w:bCs/>
          <w:color w:val="2E5090"/>
          <w:sz w:val="22"/>
          <w:szCs w:val="22"/>
        </w:rPr>
        <w:t>4.1 Questions for ESP Personnel</w:t>
      </w:r>
    </w:p>
    <w:p w14:paraId="5AE1E693" w14:textId="77777777" w:rsidR="006A760F" w:rsidRDefault="005B4AD6">
      <w:pPr>
        <w:pStyle w:val="ListParagraph"/>
        <w:numPr>
          <w:ilvl w:val="0"/>
          <w:numId w:val="2"/>
        </w:numPr>
        <w:spacing w:before="50" w:after="50"/>
      </w:pPr>
      <w:r>
        <w:rPr>
          <w:rFonts w:ascii="Arial" w:eastAsia="Arial" w:hAnsi="Arial" w:cs="Arial"/>
          <w:color w:val="333333"/>
          <w:sz w:val="19"/>
          <w:szCs w:val="19"/>
        </w:rPr>
        <w:t>Describe how you access the GCC-High enclave.</w:t>
      </w:r>
    </w:p>
    <w:p w14:paraId="275771F1" w14:textId="77777777" w:rsidR="006A760F" w:rsidRDefault="005B4AD6">
      <w:pPr>
        <w:pStyle w:val="ListParagraph"/>
        <w:numPr>
          <w:ilvl w:val="0"/>
          <w:numId w:val="2"/>
        </w:numPr>
        <w:spacing w:before="50" w:after="50"/>
      </w:pPr>
      <w:r>
        <w:rPr>
          <w:rFonts w:ascii="Arial" w:eastAsia="Arial" w:hAnsi="Arial" w:cs="Arial"/>
          <w:color w:val="333333"/>
          <w:sz w:val="19"/>
          <w:szCs w:val="19"/>
        </w:rPr>
        <w:t>Do you use any external systems or tools to manage the enclave?</w:t>
      </w:r>
    </w:p>
    <w:p w14:paraId="60BAEA8A" w14:textId="77777777" w:rsidR="006A760F" w:rsidRDefault="005B4AD6">
      <w:pPr>
        <w:pStyle w:val="ListParagraph"/>
        <w:numPr>
          <w:ilvl w:val="0"/>
          <w:numId w:val="2"/>
        </w:numPr>
        <w:spacing w:before="50" w:after="50"/>
      </w:pPr>
      <w:r>
        <w:rPr>
          <w:rFonts w:ascii="Arial" w:eastAsia="Arial" w:hAnsi="Arial" w:cs="Arial"/>
          <w:color w:val="333333"/>
          <w:sz w:val="19"/>
          <w:szCs w:val="19"/>
        </w:rPr>
        <w:t>How are privileged accounts provisioned and controlled?</w:t>
      </w:r>
    </w:p>
    <w:p w14:paraId="7DC48E9D" w14:textId="77777777" w:rsidR="006A760F" w:rsidRDefault="005B4AD6">
      <w:pPr>
        <w:pStyle w:val="ListParagraph"/>
        <w:numPr>
          <w:ilvl w:val="0"/>
          <w:numId w:val="2"/>
        </w:numPr>
        <w:spacing w:before="50" w:after="50"/>
      </w:pPr>
      <w:r>
        <w:rPr>
          <w:rFonts w:ascii="Arial" w:eastAsia="Arial" w:hAnsi="Arial" w:cs="Arial"/>
          <w:color w:val="333333"/>
          <w:sz w:val="19"/>
          <w:szCs w:val="19"/>
        </w:rPr>
        <w:t>How is your activity logged and monitored within the enclave?</w:t>
      </w:r>
    </w:p>
    <w:p w14:paraId="78A01F1C" w14:textId="77777777" w:rsidR="006A760F" w:rsidRDefault="005B4AD6">
      <w:pPr>
        <w:pStyle w:val="ListParagraph"/>
        <w:numPr>
          <w:ilvl w:val="0"/>
          <w:numId w:val="2"/>
        </w:numPr>
        <w:spacing w:before="50" w:after="50"/>
      </w:pPr>
      <w:r>
        <w:rPr>
          <w:rFonts w:ascii="Arial" w:eastAsia="Arial" w:hAnsi="Arial" w:cs="Arial"/>
          <w:color w:val="333333"/>
          <w:sz w:val="19"/>
          <w:szCs w:val="19"/>
        </w:rPr>
        <w:t xml:space="preserve">What is your role in </w:t>
      </w:r>
      <w:proofErr w:type="gramStart"/>
      <w:r>
        <w:rPr>
          <w:rFonts w:ascii="Arial" w:eastAsia="Arial" w:hAnsi="Arial" w:cs="Arial"/>
          <w:color w:val="333333"/>
          <w:sz w:val="19"/>
          <w:szCs w:val="19"/>
        </w:rPr>
        <w:t>change</w:t>
      </w:r>
      <w:proofErr w:type="gramEnd"/>
      <w:r>
        <w:rPr>
          <w:rFonts w:ascii="Arial" w:eastAsia="Arial" w:hAnsi="Arial" w:cs="Arial"/>
          <w:color w:val="333333"/>
          <w:sz w:val="19"/>
          <w:szCs w:val="19"/>
        </w:rPr>
        <w:t xml:space="preserve"> management? How do you document and communicate changes made to the enclave?</w:t>
      </w:r>
    </w:p>
    <w:p w14:paraId="31D65B9A" w14:textId="77777777" w:rsidR="006A760F" w:rsidRDefault="005B4AD6">
      <w:pPr>
        <w:pStyle w:val="ListParagraph"/>
        <w:numPr>
          <w:ilvl w:val="0"/>
          <w:numId w:val="2"/>
        </w:numPr>
        <w:spacing w:before="50" w:after="50"/>
      </w:pPr>
      <w:r>
        <w:rPr>
          <w:rFonts w:ascii="Arial" w:eastAsia="Arial" w:hAnsi="Arial" w:cs="Arial"/>
          <w:color w:val="333333"/>
          <w:sz w:val="19"/>
          <w:szCs w:val="19"/>
        </w:rPr>
        <w:t>What is your role in incident response? How are you notified of incidents and what actions do you take?</w:t>
      </w:r>
    </w:p>
    <w:p w14:paraId="0784E21D" w14:textId="77777777" w:rsidR="006A760F" w:rsidRDefault="005B4AD6">
      <w:pPr>
        <w:pStyle w:val="ListParagraph"/>
        <w:numPr>
          <w:ilvl w:val="0"/>
          <w:numId w:val="2"/>
        </w:numPr>
        <w:spacing w:before="50" w:after="50"/>
      </w:pPr>
      <w:r>
        <w:rPr>
          <w:rFonts w:ascii="Arial" w:eastAsia="Arial" w:hAnsi="Arial" w:cs="Arial"/>
          <w:color w:val="333333"/>
          <w:sz w:val="19"/>
          <w:szCs w:val="19"/>
        </w:rPr>
        <w:t>Do you store or process CUI on any ESP systems outside the GCC-High enclave?</w:t>
      </w:r>
    </w:p>
    <w:p w14:paraId="0FE32ABC"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ensure least privilege and separation of duties?</w:t>
      </w:r>
    </w:p>
    <w:p w14:paraId="18EB2A9E" w14:textId="77777777" w:rsidR="006A760F" w:rsidRDefault="005B4AD6">
      <w:pPr>
        <w:pStyle w:val="ListParagraph"/>
        <w:numPr>
          <w:ilvl w:val="0"/>
          <w:numId w:val="2"/>
        </w:numPr>
        <w:spacing w:before="50" w:after="50"/>
      </w:pPr>
      <w:r>
        <w:rPr>
          <w:rFonts w:ascii="Arial" w:eastAsia="Arial" w:hAnsi="Arial" w:cs="Arial"/>
          <w:color w:val="333333"/>
          <w:sz w:val="19"/>
          <w:szCs w:val="19"/>
        </w:rPr>
        <w:lastRenderedPageBreak/>
        <w:t>Have you completed CMMC awareness training? Where are your training records maintained?</w:t>
      </w:r>
    </w:p>
    <w:p w14:paraId="10CEAB58" w14:textId="77777777" w:rsidR="006A760F" w:rsidRDefault="005B4AD6">
      <w:pPr>
        <w:pStyle w:val="ListParagraph"/>
        <w:numPr>
          <w:ilvl w:val="0"/>
          <w:numId w:val="2"/>
        </w:numPr>
        <w:spacing w:before="50" w:after="50"/>
      </w:pPr>
      <w:r>
        <w:rPr>
          <w:rFonts w:ascii="Arial" w:eastAsia="Arial" w:hAnsi="Arial" w:cs="Arial"/>
          <w:color w:val="333333"/>
          <w:sz w:val="19"/>
          <w:szCs w:val="19"/>
        </w:rPr>
        <w:t>What happens to your access when your engagement with this OSC ends?</w:t>
      </w:r>
    </w:p>
    <w:p w14:paraId="63900E6E" w14:textId="77777777" w:rsidR="006A760F" w:rsidRDefault="006A760F">
      <w:pPr>
        <w:spacing w:before="80" w:after="60"/>
      </w:pPr>
    </w:p>
    <w:p w14:paraId="28868C65" w14:textId="77777777" w:rsidR="006A760F" w:rsidRDefault="005B4AD6">
      <w:pPr>
        <w:spacing w:before="200" w:after="80"/>
      </w:pPr>
      <w:r>
        <w:rPr>
          <w:rFonts w:ascii="Arial" w:eastAsia="Arial" w:hAnsi="Arial" w:cs="Arial"/>
          <w:b/>
          <w:bCs/>
          <w:color w:val="2E5090"/>
          <w:sz w:val="22"/>
          <w:szCs w:val="22"/>
        </w:rPr>
        <w:t>4.2 Questions for OSC Personnel</w:t>
      </w:r>
    </w:p>
    <w:p w14:paraId="4CC4D0E3"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oversee the ESP's work within your enclave?</w:t>
      </w:r>
    </w:p>
    <w:p w14:paraId="358E7845" w14:textId="77777777" w:rsidR="006A760F" w:rsidRDefault="005B4AD6">
      <w:pPr>
        <w:pStyle w:val="ListParagraph"/>
        <w:numPr>
          <w:ilvl w:val="0"/>
          <w:numId w:val="2"/>
        </w:numPr>
        <w:spacing w:before="50" w:after="50"/>
      </w:pPr>
      <w:r>
        <w:rPr>
          <w:rFonts w:ascii="Arial" w:eastAsia="Arial" w:hAnsi="Arial" w:cs="Arial"/>
          <w:color w:val="333333"/>
          <w:sz w:val="19"/>
          <w:szCs w:val="19"/>
        </w:rPr>
        <w:t>Who approves privileged access for ESP personnel?</w:t>
      </w:r>
    </w:p>
    <w:p w14:paraId="35A8C6CF" w14:textId="77777777" w:rsidR="006A760F" w:rsidRDefault="005B4AD6">
      <w:pPr>
        <w:pStyle w:val="ListParagraph"/>
        <w:numPr>
          <w:ilvl w:val="0"/>
          <w:numId w:val="2"/>
        </w:numPr>
        <w:spacing w:before="50" w:after="50"/>
      </w:pPr>
      <w:r>
        <w:rPr>
          <w:rFonts w:ascii="Arial" w:eastAsia="Arial" w:hAnsi="Arial" w:cs="Arial"/>
          <w:color w:val="333333"/>
          <w:sz w:val="19"/>
          <w:szCs w:val="19"/>
        </w:rPr>
        <w:t>Who approves changes to the enclave proposed by the ESP?</w:t>
      </w:r>
    </w:p>
    <w:p w14:paraId="26DFC193" w14:textId="77777777" w:rsidR="006A760F" w:rsidRDefault="005B4AD6">
      <w:pPr>
        <w:pStyle w:val="ListParagraph"/>
        <w:numPr>
          <w:ilvl w:val="0"/>
          <w:numId w:val="2"/>
        </w:numPr>
        <w:spacing w:before="50" w:after="50"/>
      </w:pPr>
      <w:r>
        <w:rPr>
          <w:rFonts w:ascii="Arial" w:eastAsia="Arial" w:hAnsi="Arial" w:cs="Arial"/>
          <w:color w:val="333333"/>
          <w:sz w:val="19"/>
          <w:szCs w:val="19"/>
        </w:rPr>
        <w:t xml:space="preserve">How do you review logs and </w:t>
      </w:r>
      <w:proofErr w:type="gramStart"/>
      <w:r>
        <w:rPr>
          <w:rFonts w:ascii="Arial" w:eastAsia="Arial" w:hAnsi="Arial" w:cs="Arial"/>
          <w:color w:val="333333"/>
          <w:sz w:val="19"/>
          <w:szCs w:val="19"/>
        </w:rPr>
        <w:t>monitoring</w:t>
      </w:r>
      <w:proofErr w:type="gramEnd"/>
      <w:r>
        <w:rPr>
          <w:rFonts w:ascii="Arial" w:eastAsia="Arial" w:hAnsi="Arial" w:cs="Arial"/>
          <w:color w:val="333333"/>
          <w:sz w:val="19"/>
          <w:szCs w:val="19"/>
        </w:rPr>
        <w:t xml:space="preserve"> reports to verify ESP activity?</w:t>
      </w:r>
    </w:p>
    <w:p w14:paraId="7111FE17" w14:textId="77777777" w:rsidR="006A760F" w:rsidRDefault="005B4AD6">
      <w:pPr>
        <w:pStyle w:val="ListParagraph"/>
        <w:numPr>
          <w:ilvl w:val="0"/>
          <w:numId w:val="2"/>
        </w:numPr>
        <w:spacing w:before="50" w:after="50"/>
      </w:pPr>
      <w:r>
        <w:rPr>
          <w:rFonts w:ascii="Arial" w:eastAsia="Arial" w:hAnsi="Arial" w:cs="Arial"/>
          <w:color w:val="333333"/>
          <w:sz w:val="19"/>
          <w:szCs w:val="19"/>
        </w:rPr>
        <w:t>How frequently do you review ESP privileged account activity?</w:t>
      </w:r>
    </w:p>
    <w:p w14:paraId="5A4DA274"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ensure the ESP is meeting their contractual obligations?</w:t>
      </w:r>
    </w:p>
    <w:p w14:paraId="6F5E1DC5"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maintain ownership of policies and the SSP?</w:t>
      </w:r>
    </w:p>
    <w:p w14:paraId="08A90269"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validate the ESP's security practices?</w:t>
      </w:r>
    </w:p>
    <w:p w14:paraId="56CE22BA" w14:textId="77777777" w:rsidR="006A760F" w:rsidRDefault="005B4AD6">
      <w:pPr>
        <w:pStyle w:val="ListParagraph"/>
        <w:numPr>
          <w:ilvl w:val="0"/>
          <w:numId w:val="2"/>
        </w:numPr>
        <w:spacing w:before="50" w:after="50"/>
      </w:pPr>
      <w:r>
        <w:rPr>
          <w:rFonts w:ascii="Arial" w:eastAsia="Arial" w:hAnsi="Arial" w:cs="Arial"/>
          <w:color w:val="333333"/>
          <w:sz w:val="19"/>
          <w:szCs w:val="19"/>
        </w:rPr>
        <w:t>What is your process for deprovisioning ESP access if the relationship terminates?</w:t>
      </w:r>
    </w:p>
    <w:p w14:paraId="3D171655" w14:textId="77777777" w:rsidR="006A760F" w:rsidRDefault="005B4AD6">
      <w:pPr>
        <w:pStyle w:val="ListParagraph"/>
        <w:numPr>
          <w:ilvl w:val="0"/>
          <w:numId w:val="2"/>
        </w:numPr>
        <w:spacing w:before="50" w:after="50"/>
      </w:pPr>
      <w:r>
        <w:rPr>
          <w:rFonts w:ascii="Arial" w:eastAsia="Arial" w:hAnsi="Arial" w:cs="Arial"/>
          <w:color w:val="333333"/>
          <w:sz w:val="19"/>
          <w:szCs w:val="19"/>
        </w:rPr>
        <w:t>How do you verify ESP personnel have completed required CMMC training?</w:t>
      </w:r>
    </w:p>
    <w:p w14:paraId="39C08FC6" w14:textId="77777777" w:rsidR="006A760F" w:rsidRDefault="006A760F">
      <w:pPr>
        <w:spacing w:before="240" w:after="120"/>
      </w:pPr>
    </w:p>
    <w:p w14:paraId="2B58710D" w14:textId="77777777" w:rsidR="006A760F" w:rsidRDefault="005B4AD6">
      <w:pPr>
        <w:pBdr>
          <w:bottom w:val="single" w:sz="6" w:space="4" w:color="1F3864"/>
        </w:pBdr>
        <w:spacing w:before="280" w:after="120"/>
      </w:pPr>
      <w:r>
        <w:rPr>
          <w:rFonts w:ascii="Arial" w:eastAsia="Arial" w:hAnsi="Arial" w:cs="Arial"/>
          <w:b/>
          <w:bCs/>
          <w:color w:val="1F3864"/>
          <w:sz w:val="28"/>
          <w:szCs w:val="28"/>
        </w:rPr>
        <w:t>5. Documentation Checklist</w:t>
      </w:r>
    </w:p>
    <w:p w14:paraId="7AF5DC8E" w14:textId="77777777" w:rsidR="006A760F" w:rsidRDefault="006A760F">
      <w:pPr>
        <w:spacing w:before="60" w:after="60"/>
      </w:pPr>
    </w:p>
    <w:p w14:paraId="451B35D0" w14:textId="77777777" w:rsidR="006A760F" w:rsidRDefault="005B4AD6">
      <w:pPr>
        <w:spacing w:before="60" w:after="60"/>
      </w:pPr>
      <w:r>
        <w:rPr>
          <w:rFonts w:ascii="Arial" w:eastAsia="Arial" w:hAnsi="Arial" w:cs="Arial"/>
          <w:color w:val="333333"/>
          <w:sz w:val="19"/>
          <w:szCs w:val="19"/>
        </w:rPr>
        <w:t>The following documentation must be in place and available for assessor review when an ESP is involved in managing the OSC's GCC-High enclave.</w:t>
      </w:r>
    </w:p>
    <w:p w14:paraId="3FEC3AB7" w14:textId="77777777" w:rsidR="006A760F" w:rsidRDefault="006A760F">
      <w:pPr>
        <w:spacing w:before="80" w:after="60"/>
      </w:pPr>
    </w:p>
    <w:p w14:paraId="64954343" w14:textId="77777777" w:rsidR="006A760F" w:rsidRDefault="005B4AD6">
      <w:pPr>
        <w:spacing w:before="200" w:after="80"/>
      </w:pPr>
      <w:r>
        <w:rPr>
          <w:rFonts w:ascii="Arial" w:eastAsia="Arial" w:hAnsi="Arial" w:cs="Arial"/>
          <w:b/>
          <w:bCs/>
          <w:color w:val="2E5090"/>
          <w:sz w:val="22"/>
          <w:szCs w:val="22"/>
        </w:rPr>
        <w:t>5.1 Required Documentation</w:t>
      </w:r>
    </w:p>
    <w:p w14:paraId="4D4257CD" w14:textId="77777777" w:rsidR="006A760F" w:rsidRDefault="005B4AD6">
      <w:pPr>
        <w:pStyle w:val="ListParagraph"/>
        <w:numPr>
          <w:ilvl w:val="0"/>
          <w:numId w:val="2"/>
        </w:numPr>
        <w:spacing w:before="50" w:after="50"/>
      </w:pPr>
      <w:r>
        <w:rPr>
          <w:rFonts w:ascii="Arial" w:eastAsia="Arial" w:hAnsi="Arial" w:cs="Arial"/>
          <w:color w:val="333333"/>
          <w:sz w:val="19"/>
          <w:szCs w:val="19"/>
        </w:rPr>
        <w:t>Assessment Boundary Statement — this document or equivalent</w:t>
      </w:r>
    </w:p>
    <w:p w14:paraId="052F33FC" w14:textId="77777777" w:rsidR="006A760F" w:rsidRDefault="005B4AD6">
      <w:pPr>
        <w:pStyle w:val="ListParagraph"/>
        <w:numPr>
          <w:ilvl w:val="0"/>
          <w:numId w:val="2"/>
        </w:numPr>
        <w:spacing w:before="50" w:after="50"/>
      </w:pPr>
      <w:r>
        <w:rPr>
          <w:rFonts w:ascii="Arial" w:eastAsia="Arial" w:hAnsi="Arial" w:cs="Arial"/>
          <w:color w:val="333333"/>
          <w:sz w:val="19"/>
          <w:szCs w:val="19"/>
        </w:rPr>
        <w:t>Updated SSP — must include ESP roles, responsibilities, and access details</w:t>
      </w:r>
    </w:p>
    <w:p w14:paraId="7EE9FC39" w14:textId="77777777" w:rsidR="006A760F" w:rsidRDefault="005B4AD6">
      <w:pPr>
        <w:pStyle w:val="ListParagraph"/>
        <w:numPr>
          <w:ilvl w:val="0"/>
          <w:numId w:val="2"/>
        </w:numPr>
        <w:spacing w:before="50" w:after="50"/>
      </w:pPr>
      <w:r>
        <w:rPr>
          <w:rFonts w:ascii="Arial" w:eastAsia="Arial" w:hAnsi="Arial" w:cs="Arial"/>
          <w:color w:val="333333"/>
          <w:sz w:val="19"/>
          <w:szCs w:val="19"/>
        </w:rPr>
        <w:t>RACI Matrix — completed and current</w:t>
      </w:r>
    </w:p>
    <w:p w14:paraId="717E00F4" w14:textId="77777777" w:rsidR="006A760F" w:rsidRDefault="005B4AD6">
      <w:pPr>
        <w:pStyle w:val="ListParagraph"/>
        <w:numPr>
          <w:ilvl w:val="0"/>
          <w:numId w:val="2"/>
        </w:numPr>
        <w:spacing w:before="50" w:after="50"/>
      </w:pPr>
      <w:r>
        <w:rPr>
          <w:rFonts w:ascii="Arial" w:eastAsia="Arial" w:hAnsi="Arial" w:cs="Arial"/>
          <w:color w:val="333333"/>
          <w:sz w:val="19"/>
          <w:szCs w:val="19"/>
        </w:rPr>
        <w:t>MSA / SOW / SLA with ESP — defines contractual obligations and security requirements</w:t>
      </w:r>
    </w:p>
    <w:p w14:paraId="09F7805D" w14:textId="77777777" w:rsidR="006A760F" w:rsidRDefault="005B4AD6">
      <w:pPr>
        <w:pStyle w:val="ListParagraph"/>
        <w:numPr>
          <w:ilvl w:val="0"/>
          <w:numId w:val="2"/>
        </w:numPr>
        <w:spacing w:before="50" w:after="50"/>
      </w:pPr>
      <w:r>
        <w:rPr>
          <w:rFonts w:ascii="Arial" w:eastAsia="Arial" w:hAnsi="Arial" w:cs="Arial"/>
          <w:color w:val="333333"/>
          <w:sz w:val="19"/>
          <w:szCs w:val="19"/>
        </w:rPr>
        <w:t>List of ESP personnel with privileged access — current and maintained by OSC</w:t>
      </w:r>
    </w:p>
    <w:p w14:paraId="77041CAA" w14:textId="77777777" w:rsidR="006A760F" w:rsidRDefault="005B4AD6">
      <w:pPr>
        <w:pStyle w:val="ListParagraph"/>
        <w:numPr>
          <w:ilvl w:val="0"/>
          <w:numId w:val="2"/>
        </w:numPr>
        <w:spacing w:before="50" w:after="50"/>
      </w:pPr>
      <w:r>
        <w:rPr>
          <w:rFonts w:ascii="Arial" w:eastAsia="Arial" w:hAnsi="Arial" w:cs="Arial"/>
          <w:color w:val="333333"/>
          <w:sz w:val="19"/>
          <w:szCs w:val="19"/>
        </w:rPr>
        <w:t>Privileged access provisioning and deprovisioning procedures</w:t>
      </w:r>
    </w:p>
    <w:p w14:paraId="73CC9E64" w14:textId="77777777" w:rsidR="006A760F" w:rsidRDefault="005B4AD6">
      <w:pPr>
        <w:pStyle w:val="ListParagraph"/>
        <w:numPr>
          <w:ilvl w:val="0"/>
          <w:numId w:val="2"/>
        </w:numPr>
        <w:spacing w:before="50" w:after="50"/>
      </w:pPr>
      <w:r>
        <w:rPr>
          <w:rFonts w:ascii="Arial" w:eastAsia="Arial" w:hAnsi="Arial" w:cs="Arial"/>
          <w:color w:val="333333"/>
          <w:sz w:val="19"/>
          <w:szCs w:val="19"/>
        </w:rPr>
        <w:t>Change management procedures — including ESP change request and approval process</w:t>
      </w:r>
    </w:p>
    <w:p w14:paraId="0BE54D41" w14:textId="77777777" w:rsidR="006A760F" w:rsidRDefault="005B4AD6">
      <w:pPr>
        <w:pStyle w:val="ListParagraph"/>
        <w:numPr>
          <w:ilvl w:val="0"/>
          <w:numId w:val="2"/>
        </w:numPr>
        <w:spacing w:before="50" w:after="50"/>
      </w:pPr>
      <w:r>
        <w:rPr>
          <w:rFonts w:ascii="Arial" w:eastAsia="Arial" w:hAnsi="Arial" w:cs="Arial"/>
          <w:color w:val="333333"/>
          <w:sz w:val="19"/>
          <w:szCs w:val="19"/>
        </w:rPr>
        <w:t>Incident response procedures — including ESP notification and participation</w:t>
      </w:r>
    </w:p>
    <w:p w14:paraId="76D171E1" w14:textId="77777777" w:rsidR="006A760F" w:rsidRDefault="005B4AD6">
      <w:pPr>
        <w:pStyle w:val="ListParagraph"/>
        <w:numPr>
          <w:ilvl w:val="0"/>
          <w:numId w:val="2"/>
        </w:numPr>
        <w:spacing w:before="50" w:after="50"/>
      </w:pPr>
      <w:r>
        <w:rPr>
          <w:rFonts w:ascii="Arial" w:eastAsia="Arial" w:hAnsi="Arial" w:cs="Arial"/>
          <w:color w:val="333333"/>
          <w:sz w:val="19"/>
          <w:szCs w:val="19"/>
        </w:rPr>
        <w:t>ESP access termination procedures — how and when access is revoked</w:t>
      </w:r>
    </w:p>
    <w:p w14:paraId="5C0AB893" w14:textId="77777777" w:rsidR="006A760F" w:rsidRDefault="005B4AD6">
      <w:pPr>
        <w:pStyle w:val="ListParagraph"/>
        <w:numPr>
          <w:ilvl w:val="0"/>
          <w:numId w:val="2"/>
        </w:numPr>
        <w:spacing w:before="50" w:after="50"/>
      </w:pPr>
      <w:r>
        <w:rPr>
          <w:rFonts w:ascii="Arial" w:eastAsia="Arial" w:hAnsi="Arial" w:cs="Arial"/>
          <w:color w:val="333333"/>
          <w:sz w:val="19"/>
          <w:szCs w:val="19"/>
        </w:rPr>
        <w:t>Evidence of OSC oversight — meeting notes, log review records, periodic access reviews</w:t>
      </w:r>
    </w:p>
    <w:p w14:paraId="2257D8B7" w14:textId="77777777" w:rsidR="006A760F" w:rsidRDefault="005B4AD6">
      <w:pPr>
        <w:pStyle w:val="ListParagraph"/>
        <w:numPr>
          <w:ilvl w:val="0"/>
          <w:numId w:val="2"/>
        </w:numPr>
        <w:spacing w:before="50" w:after="50"/>
      </w:pPr>
      <w:r>
        <w:rPr>
          <w:rFonts w:ascii="Arial" w:eastAsia="Arial" w:hAnsi="Arial" w:cs="Arial"/>
          <w:color w:val="333333"/>
          <w:sz w:val="19"/>
          <w:szCs w:val="19"/>
        </w:rPr>
        <w:t>Logging evidence showing ESP privileged activity within the enclave</w:t>
      </w:r>
    </w:p>
    <w:p w14:paraId="1F219AE1" w14:textId="77777777" w:rsidR="006A760F" w:rsidRDefault="005B4AD6">
      <w:pPr>
        <w:pStyle w:val="ListParagraph"/>
        <w:numPr>
          <w:ilvl w:val="0"/>
          <w:numId w:val="2"/>
        </w:numPr>
        <w:spacing w:before="50" w:after="50"/>
      </w:pPr>
      <w:r>
        <w:rPr>
          <w:rFonts w:ascii="Arial" w:eastAsia="Arial" w:hAnsi="Arial" w:cs="Arial"/>
          <w:color w:val="333333"/>
          <w:sz w:val="19"/>
          <w:szCs w:val="19"/>
        </w:rPr>
        <w:t>Training records for ESP personnel — CMMC awareness training completion</w:t>
      </w:r>
    </w:p>
    <w:p w14:paraId="673F7EA1" w14:textId="77777777" w:rsidR="006A760F" w:rsidRDefault="006A760F">
      <w:pPr>
        <w:spacing w:before="80" w:after="60"/>
      </w:pPr>
    </w:p>
    <w:p w14:paraId="09E9DEFA" w14:textId="77777777" w:rsidR="006A760F" w:rsidRDefault="005B4AD6">
      <w:pPr>
        <w:spacing w:before="200" w:after="80"/>
      </w:pPr>
      <w:r>
        <w:rPr>
          <w:rFonts w:ascii="Arial" w:eastAsia="Arial" w:hAnsi="Arial" w:cs="Arial"/>
          <w:b/>
          <w:bCs/>
          <w:color w:val="2E5090"/>
          <w:sz w:val="22"/>
          <w:szCs w:val="22"/>
        </w:rPr>
        <w:t>5.2 Not Required</w:t>
      </w:r>
    </w:p>
    <w:p w14:paraId="6C1BD34A" w14:textId="77777777" w:rsidR="006A760F" w:rsidRDefault="005B4AD6">
      <w:pPr>
        <w:pStyle w:val="ListParagraph"/>
        <w:numPr>
          <w:ilvl w:val="0"/>
          <w:numId w:val="2"/>
        </w:numPr>
        <w:spacing w:before="50" w:after="50"/>
      </w:pPr>
      <w:r>
        <w:rPr>
          <w:rFonts w:ascii="Arial" w:eastAsia="Arial" w:hAnsi="Arial" w:cs="Arial"/>
          <w:color w:val="333333"/>
          <w:sz w:val="19"/>
          <w:szCs w:val="19"/>
        </w:rPr>
        <w:t>ESP internal network diagrams</w:t>
      </w:r>
    </w:p>
    <w:p w14:paraId="0285C01D" w14:textId="77777777" w:rsidR="006A760F" w:rsidRDefault="005B4AD6">
      <w:pPr>
        <w:pStyle w:val="ListParagraph"/>
        <w:numPr>
          <w:ilvl w:val="0"/>
          <w:numId w:val="2"/>
        </w:numPr>
        <w:spacing w:before="50" w:after="50"/>
      </w:pPr>
      <w:r>
        <w:rPr>
          <w:rFonts w:ascii="Arial" w:eastAsia="Arial" w:hAnsi="Arial" w:cs="Arial"/>
          <w:color w:val="333333"/>
          <w:sz w:val="19"/>
          <w:szCs w:val="19"/>
        </w:rPr>
        <w:t>ESP vulnerability scans of their own environment</w:t>
      </w:r>
    </w:p>
    <w:p w14:paraId="6027C052" w14:textId="77777777" w:rsidR="006A760F" w:rsidRDefault="005B4AD6">
      <w:pPr>
        <w:pStyle w:val="ListParagraph"/>
        <w:numPr>
          <w:ilvl w:val="0"/>
          <w:numId w:val="2"/>
        </w:numPr>
        <w:spacing w:before="50" w:after="50"/>
      </w:pPr>
      <w:r>
        <w:rPr>
          <w:rFonts w:ascii="Arial" w:eastAsia="Arial" w:hAnsi="Arial" w:cs="Arial"/>
          <w:color w:val="333333"/>
          <w:sz w:val="19"/>
          <w:szCs w:val="19"/>
        </w:rPr>
        <w:t>ESP FedRAMP Moderate authorization — not required for ESP personnel in scope</w:t>
      </w:r>
    </w:p>
    <w:p w14:paraId="7009F4F0" w14:textId="77777777" w:rsidR="006A760F" w:rsidRDefault="005B4AD6">
      <w:pPr>
        <w:pStyle w:val="ListParagraph"/>
        <w:numPr>
          <w:ilvl w:val="0"/>
          <w:numId w:val="2"/>
        </w:numPr>
        <w:spacing w:before="50" w:after="50"/>
      </w:pPr>
      <w:r>
        <w:rPr>
          <w:rFonts w:ascii="Arial" w:eastAsia="Arial" w:hAnsi="Arial" w:cs="Arial"/>
          <w:color w:val="333333"/>
          <w:sz w:val="19"/>
          <w:szCs w:val="19"/>
        </w:rPr>
        <w:t>ESP internal IT policies unrelated to enclave work</w:t>
      </w:r>
    </w:p>
    <w:p w14:paraId="4906824A" w14:textId="77777777" w:rsidR="006A760F" w:rsidRDefault="005B4AD6">
      <w:pPr>
        <w:pStyle w:val="ListParagraph"/>
        <w:numPr>
          <w:ilvl w:val="0"/>
          <w:numId w:val="2"/>
        </w:numPr>
        <w:spacing w:before="50" w:after="50"/>
      </w:pPr>
      <w:r>
        <w:rPr>
          <w:rFonts w:ascii="Arial" w:eastAsia="Arial" w:hAnsi="Arial" w:cs="Arial"/>
          <w:color w:val="333333"/>
          <w:sz w:val="19"/>
          <w:szCs w:val="19"/>
        </w:rPr>
        <w:t>ESP corporate security policies</w:t>
      </w:r>
    </w:p>
    <w:p w14:paraId="19C12854" w14:textId="77777777" w:rsidR="006A760F" w:rsidRDefault="006A760F">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6A760F" w14:paraId="394492BA" w14:textId="77777777">
        <w:tc>
          <w:tcPr>
            <w:tcW w:w="0" w:type="auto"/>
            <w:tcBorders>
              <w:top w:val="single" w:sz="2" w:space="0" w:color="CCCCCC"/>
              <w:left w:val="single" w:sz="6" w:space="0" w:color="1F3864"/>
              <w:bottom w:val="single" w:sz="2" w:space="0" w:color="CCCCCC"/>
              <w:right w:val="single" w:sz="2" w:space="0" w:color="CCCCCC"/>
            </w:tcBorders>
            <w:shd w:val="clear" w:color="auto" w:fill="FFF2CC"/>
            <w:tcMar>
              <w:top w:w="120" w:type="dxa"/>
              <w:left w:w="200" w:type="dxa"/>
              <w:bottom w:w="120" w:type="dxa"/>
              <w:right w:w="200" w:type="dxa"/>
            </w:tcMar>
          </w:tcPr>
          <w:p w14:paraId="2234D105" w14:textId="77777777" w:rsidR="006A760F" w:rsidRDefault="005B4AD6">
            <w:pPr>
              <w:spacing w:after="60"/>
            </w:pPr>
            <w:r>
              <w:rPr>
                <w:rFonts w:ascii="Arial" w:eastAsia="Arial" w:hAnsi="Arial" w:cs="Arial"/>
                <w:b/>
                <w:bCs/>
                <w:color w:val="1F3864"/>
                <w:sz w:val="19"/>
                <w:szCs w:val="19"/>
              </w:rPr>
              <w:t>Assessor Expectation</w:t>
            </w:r>
          </w:p>
          <w:p w14:paraId="5F4370A0" w14:textId="77777777" w:rsidR="006A760F" w:rsidRDefault="005B4AD6">
            <w:r>
              <w:rPr>
                <w:rFonts w:ascii="Arial" w:eastAsia="Arial" w:hAnsi="Arial" w:cs="Arial"/>
                <w:color w:val="444444"/>
                <w:sz w:val="18"/>
                <w:szCs w:val="18"/>
              </w:rPr>
              <w:lastRenderedPageBreak/>
              <w:t xml:space="preserve">Assessors will verify that the OSC — not the ESP — owns and controls the enclave. The OSC must demonstrate active oversight through documented log reviews, change approvals, and access management. An OSC that cannot demonstrate this oversight will likely receive findings regardless of how well </w:t>
            </w:r>
            <w:proofErr w:type="gramStart"/>
            <w:r>
              <w:rPr>
                <w:rFonts w:ascii="Arial" w:eastAsia="Arial" w:hAnsi="Arial" w:cs="Arial"/>
                <w:color w:val="444444"/>
                <w:sz w:val="18"/>
                <w:szCs w:val="18"/>
              </w:rPr>
              <w:t>the ESP</w:t>
            </w:r>
            <w:proofErr w:type="gramEnd"/>
            <w:r>
              <w:rPr>
                <w:rFonts w:ascii="Arial" w:eastAsia="Arial" w:hAnsi="Arial" w:cs="Arial"/>
                <w:color w:val="444444"/>
                <w:sz w:val="18"/>
                <w:szCs w:val="18"/>
              </w:rPr>
              <w:t xml:space="preserve"> performs operationally.</w:t>
            </w:r>
          </w:p>
        </w:tc>
      </w:tr>
    </w:tbl>
    <w:p w14:paraId="16BDB2EE" w14:textId="77777777" w:rsidR="006A760F" w:rsidRDefault="006A760F">
      <w:pPr>
        <w:spacing w:before="240" w:after="120"/>
      </w:pPr>
    </w:p>
    <w:p w14:paraId="06860146" w14:textId="77777777" w:rsidR="006A760F" w:rsidRDefault="005B4AD6">
      <w:pPr>
        <w:pBdr>
          <w:top w:val="single" w:sz="2" w:space="6" w:color="CCCCCC"/>
        </w:pBdr>
        <w:spacing w:before="120"/>
        <w:jc w:val="center"/>
      </w:pPr>
      <w:r>
        <w:rPr>
          <w:rFonts w:ascii="Arial" w:eastAsia="Arial" w:hAnsi="Arial" w:cs="Arial"/>
          <w:color w:val="AAAAAA"/>
          <w:sz w:val="16"/>
          <w:szCs w:val="16"/>
        </w:rPr>
        <w:t xml:space="preserve">BeardedELF </w:t>
      </w:r>
      <w:proofErr w:type="gramStart"/>
      <w:r>
        <w:rPr>
          <w:rFonts w:ascii="Arial" w:eastAsia="Arial" w:hAnsi="Arial" w:cs="Arial"/>
          <w:color w:val="AAAAAA"/>
          <w:sz w:val="16"/>
          <w:szCs w:val="16"/>
        </w:rPr>
        <w:t>LLC  |</w:t>
      </w:r>
      <w:proofErr w:type="gramEnd"/>
      <w:r>
        <w:rPr>
          <w:rFonts w:ascii="Arial" w:eastAsia="Arial" w:hAnsi="Arial" w:cs="Arial"/>
          <w:color w:val="AAAAAA"/>
          <w:sz w:val="16"/>
          <w:szCs w:val="16"/>
        </w:rPr>
        <w:t xml:space="preserve">  </w:t>
      </w:r>
      <w:proofErr w:type="gramStart"/>
      <w:r>
        <w:rPr>
          <w:rFonts w:ascii="Arial" w:eastAsia="Arial" w:hAnsi="Arial" w:cs="Arial"/>
          <w:color w:val="AAAAAA"/>
          <w:sz w:val="16"/>
          <w:szCs w:val="16"/>
        </w:rPr>
        <w:t>www.beardedelf.us  |</w:t>
      </w:r>
      <w:proofErr w:type="gramEnd"/>
      <w:r>
        <w:rPr>
          <w:rFonts w:ascii="Arial" w:eastAsia="Arial" w:hAnsi="Arial" w:cs="Arial"/>
          <w:color w:val="AAAAAA"/>
          <w:sz w:val="16"/>
          <w:szCs w:val="16"/>
        </w:rPr>
        <w:t xml:space="preserve">  </w:t>
      </w:r>
      <w:proofErr w:type="gramStart"/>
      <w:r>
        <w:rPr>
          <w:rFonts w:ascii="Arial" w:eastAsia="Arial" w:hAnsi="Arial" w:cs="Arial"/>
          <w:color w:val="AAAAAA"/>
          <w:sz w:val="16"/>
          <w:szCs w:val="16"/>
        </w:rPr>
        <w:t>eric@beardedelf.us  |</w:t>
      </w:r>
      <w:proofErr w:type="gramEnd"/>
      <w:r>
        <w:rPr>
          <w:rFonts w:ascii="Arial" w:eastAsia="Arial" w:hAnsi="Arial" w:cs="Arial"/>
          <w:color w:val="AAAAAA"/>
          <w:sz w:val="16"/>
          <w:szCs w:val="16"/>
        </w:rPr>
        <w:t xml:space="preserve">  Compliance Without the Chaos.  </w:t>
      </w:r>
      <w:proofErr w:type="gramStart"/>
      <w:r>
        <w:rPr>
          <w:rFonts w:ascii="Arial" w:eastAsia="Arial" w:hAnsi="Arial" w:cs="Arial"/>
          <w:color w:val="AAAAAA"/>
          <w:sz w:val="16"/>
          <w:szCs w:val="16"/>
        </w:rPr>
        <w:t>|  CONFIDENTIAL</w:t>
      </w:r>
      <w:proofErr w:type="gramEnd"/>
    </w:p>
    <w:sectPr w:rsidR="006A760F">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12321"/>
    <w:multiLevelType w:val="hybridMultilevel"/>
    <w:tmpl w:val="E52C6F3A"/>
    <w:lvl w:ilvl="0" w:tplc="8744BA12">
      <w:start w:val="1"/>
      <w:numFmt w:val="bullet"/>
      <w:lvlText w:val="●"/>
      <w:lvlJc w:val="left"/>
      <w:pPr>
        <w:ind w:left="720" w:hanging="360"/>
      </w:pPr>
    </w:lvl>
    <w:lvl w:ilvl="1" w:tplc="E362A3A8">
      <w:start w:val="1"/>
      <w:numFmt w:val="bullet"/>
      <w:lvlText w:val="○"/>
      <w:lvlJc w:val="left"/>
      <w:pPr>
        <w:ind w:left="1440" w:hanging="360"/>
      </w:pPr>
    </w:lvl>
    <w:lvl w:ilvl="2" w:tplc="DB24A002">
      <w:start w:val="1"/>
      <w:numFmt w:val="bullet"/>
      <w:lvlText w:val="■"/>
      <w:lvlJc w:val="left"/>
      <w:pPr>
        <w:ind w:left="2160" w:hanging="360"/>
      </w:pPr>
    </w:lvl>
    <w:lvl w:ilvl="3" w:tplc="EC1A2E22">
      <w:start w:val="1"/>
      <w:numFmt w:val="bullet"/>
      <w:lvlText w:val="●"/>
      <w:lvlJc w:val="left"/>
      <w:pPr>
        <w:ind w:left="2880" w:hanging="360"/>
      </w:pPr>
    </w:lvl>
    <w:lvl w:ilvl="4" w:tplc="5562FD4C">
      <w:start w:val="1"/>
      <w:numFmt w:val="bullet"/>
      <w:lvlText w:val="○"/>
      <w:lvlJc w:val="left"/>
      <w:pPr>
        <w:ind w:left="3600" w:hanging="360"/>
      </w:pPr>
    </w:lvl>
    <w:lvl w:ilvl="5" w:tplc="0CBC01BA">
      <w:start w:val="1"/>
      <w:numFmt w:val="bullet"/>
      <w:lvlText w:val="■"/>
      <w:lvlJc w:val="left"/>
      <w:pPr>
        <w:ind w:left="4320" w:hanging="360"/>
      </w:pPr>
    </w:lvl>
    <w:lvl w:ilvl="6" w:tplc="A78C2C2E">
      <w:start w:val="1"/>
      <w:numFmt w:val="bullet"/>
      <w:lvlText w:val="●"/>
      <w:lvlJc w:val="left"/>
      <w:pPr>
        <w:ind w:left="5040" w:hanging="360"/>
      </w:pPr>
    </w:lvl>
    <w:lvl w:ilvl="7" w:tplc="6ECC1714">
      <w:start w:val="1"/>
      <w:numFmt w:val="bullet"/>
      <w:lvlText w:val="●"/>
      <w:lvlJc w:val="left"/>
      <w:pPr>
        <w:ind w:left="5760" w:hanging="360"/>
      </w:pPr>
    </w:lvl>
    <w:lvl w:ilvl="8" w:tplc="D996CA2C">
      <w:start w:val="1"/>
      <w:numFmt w:val="bullet"/>
      <w:lvlText w:val="●"/>
      <w:lvlJc w:val="left"/>
      <w:pPr>
        <w:ind w:left="6480" w:hanging="360"/>
      </w:pPr>
    </w:lvl>
  </w:abstractNum>
  <w:abstractNum w:abstractNumId="1" w15:restartNumberingAfterBreak="0">
    <w:nsid w:val="4E7815D4"/>
    <w:multiLevelType w:val="hybridMultilevel"/>
    <w:tmpl w:val="3F482210"/>
    <w:lvl w:ilvl="0" w:tplc="06008882">
      <w:start w:val="1"/>
      <w:numFmt w:val="bullet"/>
      <w:lvlText w:val="◦"/>
      <w:lvlJc w:val="left"/>
      <w:pPr>
        <w:ind w:left="1080" w:hanging="360"/>
      </w:pPr>
    </w:lvl>
    <w:lvl w:ilvl="1" w:tplc="6D4A261C">
      <w:numFmt w:val="decimal"/>
      <w:lvlText w:val=""/>
      <w:lvlJc w:val="left"/>
    </w:lvl>
    <w:lvl w:ilvl="2" w:tplc="7884D1BE">
      <w:numFmt w:val="decimal"/>
      <w:lvlText w:val=""/>
      <w:lvlJc w:val="left"/>
    </w:lvl>
    <w:lvl w:ilvl="3" w:tplc="004EF068">
      <w:numFmt w:val="decimal"/>
      <w:lvlText w:val=""/>
      <w:lvlJc w:val="left"/>
    </w:lvl>
    <w:lvl w:ilvl="4" w:tplc="6B2AA2AC">
      <w:numFmt w:val="decimal"/>
      <w:lvlText w:val=""/>
      <w:lvlJc w:val="left"/>
    </w:lvl>
    <w:lvl w:ilvl="5" w:tplc="3E2C9042">
      <w:numFmt w:val="decimal"/>
      <w:lvlText w:val=""/>
      <w:lvlJc w:val="left"/>
    </w:lvl>
    <w:lvl w:ilvl="6" w:tplc="9CE22814">
      <w:numFmt w:val="decimal"/>
      <w:lvlText w:val=""/>
      <w:lvlJc w:val="left"/>
    </w:lvl>
    <w:lvl w:ilvl="7" w:tplc="D0D06BC4">
      <w:numFmt w:val="decimal"/>
      <w:lvlText w:val=""/>
      <w:lvlJc w:val="left"/>
    </w:lvl>
    <w:lvl w:ilvl="8" w:tplc="ACFA6302">
      <w:numFmt w:val="decimal"/>
      <w:lvlText w:val=""/>
      <w:lvlJc w:val="left"/>
    </w:lvl>
  </w:abstractNum>
  <w:abstractNum w:abstractNumId="2" w15:restartNumberingAfterBreak="0">
    <w:nsid w:val="65AB18D5"/>
    <w:multiLevelType w:val="hybridMultilevel"/>
    <w:tmpl w:val="C45A3946"/>
    <w:lvl w:ilvl="0" w:tplc="9C422554">
      <w:start w:val="1"/>
      <w:numFmt w:val="bullet"/>
      <w:lvlText w:val="•"/>
      <w:lvlJc w:val="left"/>
      <w:pPr>
        <w:ind w:left="720" w:hanging="360"/>
      </w:pPr>
    </w:lvl>
    <w:lvl w:ilvl="1" w:tplc="830E1384">
      <w:numFmt w:val="decimal"/>
      <w:lvlText w:val=""/>
      <w:lvlJc w:val="left"/>
    </w:lvl>
    <w:lvl w:ilvl="2" w:tplc="2DB00C20">
      <w:numFmt w:val="decimal"/>
      <w:lvlText w:val=""/>
      <w:lvlJc w:val="left"/>
    </w:lvl>
    <w:lvl w:ilvl="3" w:tplc="67B4DE36">
      <w:numFmt w:val="decimal"/>
      <w:lvlText w:val=""/>
      <w:lvlJc w:val="left"/>
    </w:lvl>
    <w:lvl w:ilvl="4" w:tplc="66486CDE">
      <w:numFmt w:val="decimal"/>
      <w:lvlText w:val=""/>
      <w:lvlJc w:val="left"/>
    </w:lvl>
    <w:lvl w:ilvl="5" w:tplc="EF7AB3E0">
      <w:numFmt w:val="decimal"/>
      <w:lvlText w:val=""/>
      <w:lvlJc w:val="left"/>
    </w:lvl>
    <w:lvl w:ilvl="6" w:tplc="33D275DC">
      <w:numFmt w:val="decimal"/>
      <w:lvlText w:val=""/>
      <w:lvlJc w:val="left"/>
    </w:lvl>
    <w:lvl w:ilvl="7" w:tplc="D9507180">
      <w:numFmt w:val="decimal"/>
      <w:lvlText w:val=""/>
      <w:lvlJc w:val="left"/>
    </w:lvl>
    <w:lvl w:ilvl="8" w:tplc="CC2A055E">
      <w:numFmt w:val="decimal"/>
      <w:lvlText w:val=""/>
      <w:lvlJc w:val="left"/>
    </w:lvl>
  </w:abstractNum>
  <w:num w:numId="1" w16cid:durableId="672688130">
    <w:abstractNumId w:val="0"/>
    <w:lvlOverride w:ilvl="0">
      <w:startOverride w:val="1"/>
    </w:lvlOverride>
  </w:num>
  <w:num w:numId="2" w16cid:durableId="1961571627">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60F"/>
    <w:rsid w:val="00192521"/>
    <w:rsid w:val="00310A4E"/>
    <w:rsid w:val="00457669"/>
    <w:rsid w:val="005B4AD6"/>
    <w:rsid w:val="006A760F"/>
    <w:rsid w:val="00D11C19"/>
    <w:rsid w:val="00EF516E"/>
    <w:rsid w:val="00F02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600F0"/>
  <w15:docId w15:val="{E374A518-5F8B-4DB2-9839-CD8D89B9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1299</Words>
  <Characters>7715</Characters>
  <Application>Microsoft Office Word</Application>
  <DocSecurity>0</DocSecurity>
  <Lines>260</Lines>
  <Paragraphs>167</Paragraphs>
  <ScaleCrop>false</ScaleCrop>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Eric Fields</cp:lastModifiedBy>
  <cp:revision>4</cp:revision>
  <dcterms:created xsi:type="dcterms:W3CDTF">2026-03-22T12:00:00Z</dcterms:created>
  <dcterms:modified xsi:type="dcterms:W3CDTF">2026-03-27T12:26:00Z</dcterms:modified>
</cp:coreProperties>
</file>