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400"/>
        <w:gridCol w:w="4320"/>
      </w:tblGrid>
      <w:tr w:rsidR="003C524B" w14:paraId="0A812178" w14:textId="77777777">
        <w:tc>
          <w:tcPr>
            <w:tcW w:w="5400" w:type="dxa"/>
            <w:tcBorders>
              <w:top w:val="none" w:sz="0" w:space="0" w:color="FFFFFF"/>
              <w:left w:val="none" w:sz="0" w:space="0" w:color="FFFFFF"/>
              <w:bottom w:val="none" w:sz="0" w:space="0" w:color="FFFFFF"/>
              <w:right w:val="none" w:sz="0" w:space="0" w:color="FFFFFF"/>
            </w:tcBorders>
            <w:vAlign w:val="center"/>
          </w:tcPr>
          <w:p w14:paraId="161C658F" w14:textId="77777777" w:rsidR="003C524B" w:rsidRDefault="00187F8C">
            <w:r>
              <w:rPr>
                <w:noProof/>
              </w:rPr>
              <w:drawing>
                <wp:inline distT="0" distB="0" distL="0" distR="0" wp14:anchorId="27E30E89" wp14:editId="4CB1695F">
                  <wp:extent cx="2286000" cy="6477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5"/>
                          <a:srcRect/>
                          <a:stretch>
                            <a:fillRect/>
                          </a:stretch>
                        </pic:blipFill>
                        <pic:spPr bwMode="auto">
                          <a:xfrm>
                            <a:off x="0" y="0"/>
                            <a:ext cx="2286000" cy="647700"/>
                          </a:xfrm>
                          <a:prstGeom prst="rect">
                            <a:avLst/>
                          </a:prstGeom>
                        </pic:spPr>
                      </pic:pic>
                    </a:graphicData>
                  </a:graphic>
                </wp:inline>
              </w:drawing>
            </w:r>
          </w:p>
        </w:tc>
        <w:tc>
          <w:tcPr>
            <w:tcW w:w="4320" w:type="dxa"/>
            <w:tcBorders>
              <w:top w:val="none" w:sz="0" w:space="0" w:color="FFFFFF"/>
              <w:left w:val="none" w:sz="0" w:space="0" w:color="FFFFFF"/>
              <w:bottom w:val="none" w:sz="0" w:space="0" w:color="FFFFFF"/>
              <w:right w:val="none" w:sz="0" w:space="0" w:color="FFFFFF"/>
            </w:tcBorders>
            <w:vAlign w:val="center"/>
          </w:tcPr>
          <w:p w14:paraId="5A70E59B" w14:textId="77777777" w:rsidR="003C524B" w:rsidRDefault="00187F8C">
            <w:pPr>
              <w:spacing w:after="30"/>
              <w:jc w:val="right"/>
            </w:pPr>
            <w:r>
              <w:rPr>
                <w:rFonts w:ascii="Arial" w:eastAsia="Arial" w:hAnsi="Arial" w:cs="Arial"/>
                <w:color w:val="888888"/>
                <w:sz w:val="17"/>
                <w:szCs w:val="17"/>
              </w:rPr>
              <w:t>eric@beardedelf.us</w:t>
            </w:r>
          </w:p>
          <w:p w14:paraId="3825502A" w14:textId="77777777" w:rsidR="003C524B" w:rsidRDefault="00187F8C">
            <w:pPr>
              <w:spacing w:after="30"/>
              <w:jc w:val="right"/>
            </w:pPr>
            <w:r>
              <w:rPr>
                <w:rFonts w:ascii="Arial" w:eastAsia="Arial" w:hAnsi="Arial" w:cs="Arial"/>
                <w:color w:val="888888"/>
                <w:sz w:val="17"/>
                <w:szCs w:val="17"/>
              </w:rPr>
              <w:t>www.beardedelf.us</w:t>
            </w:r>
          </w:p>
        </w:tc>
      </w:tr>
    </w:tbl>
    <w:p w14:paraId="16EDB3A4" w14:textId="77777777" w:rsidR="003C524B" w:rsidRDefault="003C524B">
      <w:pPr>
        <w:pBdr>
          <w:bottom w:val="single" w:sz="3" w:space="1" w:color="E8E8E8"/>
        </w:pBdr>
        <w:spacing w:before="80" w:after="120"/>
      </w:pPr>
    </w:p>
    <w:p w14:paraId="38115326" w14:textId="77777777" w:rsidR="003C524B" w:rsidRDefault="00187F8C">
      <w:pPr>
        <w:spacing w:before="120" w:after="80"/>
      </w:pPr>
      <w:r>
        <w:rPr>
          <w:rFonts w:ascii="Arial" w:eastAsia="Arial" w:hAnsi="Arial" w:cs="Arial"/>
          <w:b/>
          <w:bCs/>
          <w:color w:val="1F3864"/>
          <w:sz w:val="30"/>
          <w:szCs w:val="30"/>
        </w:rPr>
        <w:t>A Compliance Automation Add-On Your CMMC Clients Actually Need.</w:t>
      </w:r>
    </w:p>
    <w:p w14:paraId="0BAFB7F8" w14:textId="77777777" w:rsidR="003C524B" w:rsidRDefault="00187F8C">
      <w:pPr>
        <w:spacing w:after="120"/>
      </w:pPr>
      <w:r>
        <w:rPr>
          <w:rFonts w:ascii="Arial" w:eastAsia="Arial" w:hAnsi="Arial" w:cs="Arial"/>
          <w:color w:val="555555"/>
        </w:rPr>
        <w:t>BeardedELF automates the ongoing compliance monitoring and evidence collection that defense contractors are required to maintain under CMMC Level 2. Add it to your service stack, differentiate your offering, and build recurring revenue — without building the automation yourself.</w:t>
      </w:r>
    </w:p>
    <w:p w14:paraId="6F314C6E" w14:textId="77777777" w:rsidR="003C524B" w:rsidRDefault="00187F8C">
      <w:pPr>
        <w:pBdr>
          <w:bottom w:val="single" w:sz="2" w:space="4" w:color="EEEEEE"/>
        </w:pBdr>
        <w:spacing w:before="100" w:after="60"/>
      </w:pPr>
      <w:r>
        <w:rPr>
          <w:rFonts w:ascii="Arial" w:eastAsia="Arial" w:hAnsi="Arial" w:cs="Arial"/>
          <w:b/>
          <w:bCs/>
          <w:color w:val="1F3864"/>
          <w:sz w:val="22"/>
          <w:szCs w:val="22"/>
        </w:rPr>
        <w:t>The Opportunity</w:t>
      </w:r>
    </w:p>
    <w:p w14:paraId="514DFFA9" w14:textId="77777777" w:rsidR="003C524B" w:rsidRDefault="003C524B">
      <w:pPr>
        <w:spacing w:before="40" w:after="40"/>
      </w:pPr>
    </w:p>
    <w:p w14:paraId="3855DF38" w14:textId="77777777" w:rsidR="003C524B" w:rsidRDefault="00187F8C">
      <w:pPr>
        <w:spacing w:before="60" w:after="60"/>
      </w:pPr>
      <w:r>
        <w:rPr>
          <w:rFonts w:ascii="Arial" w:eastAsia="Arial" w:hAnsi="Arial" w:cs="Arial"/>
          <w:color w:val="444444"/>
          <w:sz w:val="19"/>
          <w:szCs w:val="19"/>
        </w:rPr>
        <w:t>Your defense contractor clients are dealing with a compliance calendar that never stops — weekly vulnerability reviews, monthly account audits, quarterly Assessment Objective checks, and an annual self-assessment with a DoD-reported SPRS score. Most are doing this manually, inconsistently, or not at all.</w:t>
      </w:r>
    </w:p>
    <w:p w14:paraId="5161459A" w14:textId="77777777" w:rsidR="003C524B" w:rsidRDefault="003C524B">
      <w:pPr>
        <w:spacing w:before="40" w:after="40"/>
      </w:pPr>
    </w:p>
    <w:p w14:paraId="1BB8121E" w14:textId="77777777" w:rsidR="003C524B" w:rsidRDefault="00187F8C">
      <w:pPr>
        <w:spacing w:before="60" w:after="60"/>
      </w:pPr>
      <w:r>
        <w:rPr>
          <w:rFonts w:ascii="Arial" w:eastAsia="Arial" w:hAnsi="Arial" w:cs="Arial"/>
          <w:color w:val="444444"/>
          <w:sz w:val="19"/>
          <w:szCs w:val="19"/>
        </w:rPr>
        <w:t xml:space="preserve">BeardedELF gives you a ready-to-deploy automation suite that handles this work for them. You bring the client relationship and the managed service wrapper. BeardedELF provides </w:t>
      </w:r>
      <w:proofErr w:type="gramStart"/>
      <w:r>
        <w:rPr>
          <w:rFonts w:ascii="Arial" w:eastAsia="Arial" w:hAnsi="Arial" w:cs="Arial"/>
          <w:color w:val="444444"/>
          <w:sz w:val="19"/>
          <w:szCs w:val="19"/>
        </w:rPr>
        <w:t>the automation</w:t>
      </w:r>
      <w:proofErr w:type="gramEnd"/>
      <w:r>
        <w:rPr>
          <w:rFonts w:ascii="Arial" w:eastAsia="Arial" w:hAnsi="Arial" w:cs="Arial"/>
          <w:color w:val="444444"/>
          <w:sz w:val="19"/>
          <w:szCs w:val="19"/>
        </w:rPr>
        <w:t xml:space="preserve">, </w:t>
      </w:r>
      <w:proofErr w:type="gramStart"/>
      <w:r>
        <w:rPr>
          <w:rFonts w:ascii="Arial" w:eastAsia="Arial" w:hAnsi="Arial" w:cs="Arial"/>
          <w:color w:val="444444"/>
          <w:sz w:val="19"/>
          <w:szCs w:val="19"/>
        </w:rPr>
        <w:t>the documentation</w:t>
      </w:r>
      <w:proofErr w:type="gramEnd"/>
      <w:r>
        <w:rPr>
          <w:rFonts w:ascii="Arial" w:eastAsia="Arial" w:hAnsi="Arial" w:cs="Arial"/>
          <w:color w:val="444444"/>
          <w:sz w:val="19"/>
          <w:szCs w:val="19"/>
        </w:rPr>
        <w:t xml:space="preserve">, and </w:t>
      </w:r>
      <w:proofErr w:type="gramStart"/>
      <w:r>
        <w:rPr>
          <w:rFonts w:ascii="Arial" w:eastAsia="Arial" w:hAnsi="Arial" w:cs="Arial"/>
          <w:color w:val="444444"/>
          <w:sz w:val="19"/>
          <w:szCs w:val="19"/>
        </w:rPr>
        <w:t>the evidence</w:t>
      </w:r>
      <w:proofErr w:type="gramEnd"/>
      <w:r>
        <w:rPr>
          <w:rFonts w:ascii="Arial" w:eastAsia="Arial" w:hAnsi="Arial" w:cs="Arial"/>
          <w:color w:val="444444"/>
          <w:sz w:val="19"/>
          <w:szCs w:val="19"/>
        </w:rPr>
        <w:t xml:space="preserve"> structure that makes CMMC compliance manageable.</w:t>
      </w:r>
    </w:p>
    <w:p w14:paraId="7F9BD552" w14:textId="77777777" w:rsidR="003C524B" w:rsidRDefault="003C524B">
      <w:pPr>
        <w:spacing w:before="80" w:after="80"/>
      </w:pPr>
    </w:p>
    <w:p w14:paraId="1853B57C" w14:textId="77777777" w:rsidR="003C524B" w:rsidRDefault="00187F8C">
      <w:pPr>
        <w:pBdr>
          <w:bottom w:val="single" w:sz="2" w:space="4" w:color="EEEEEE"/>
        </w:pBdr>
        <w:spacing w:before="60" w:after="60"/>
      </w:pPr>
      <w:r>
        <w:rPr>
          <w:rFonts w:ascii="Arial" w:eastAsia="Arial" w:hAnsi="Arial" w:cs="Arial"/>
          <w:b/>
          <w:bCs/>
          <w:color w:val="1F3864"/>
          <w:sz w:val="22"/>
          <w:szCs w:val="22"/>
        </w:rPr>
        <w:t>What You Add to Your Service Stack</w:t>
      </w:r>
    </w:p>
    <w:p w14:paraId="5E6611EA" w14:textId="77777777" w:rsidR="003C524B" w:rsidRDefault="003C524B">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20"/>
        <w:gridCol w:w="120"/>
        <w:gridCol w:w="4620"/>
      </w:tblGrid>
      <w:tr w:rsidR="003C524B" w14:paraId="713389C7" w14:textId="77777777">
        <w:tc>
          <w:tcPr>
            <w:tcW w:w="4620" w:type="dxa"/>
            <w:tcBorders>
              <w:top w:val="none" w:sz="0" w:space="0" w:color="FFFFFF"/>
              <w:left w:val="none" w:sz="0" w:space="0" w:color="FFFFFF"/>
              <w:bottom w:val="none" w:sz="0" w:space="0" w:color="FFFFFF"/>
              <w:right w:val="none" w:sz="0" w:space="0" w:color="FFFFFF"/>
            </w:tcBorders>
            <w:shd w:val="clear" w:color="auto" w:fill="F7F9FC"/>
            <w:tcMar>
              <w:top w:w="160" w:type="dxa"/>
              <w:left w:w="180" w:type="dxa"/>
              <w:bottom w:w="160" w:type="dxa"/>
              <w:right w:w="180" w:type="dxa"/>
            </w:tcMar>
          </w:tcPr>
          <w:p w14:paraId="0CCA1CDF" w14:textId="77777777" w:rsidR="003C524B" w:rsidRDefault="00187F8C">
            <w:pPr>
              <w:spacing w:after="80"/>
            </w:pPr>
            <w:r>
              <w:rPr>
                <w:rFonts w:ascii="Arial" w:eastAsia="Arial" w:hAnsi="Arial" w:cs="Arial"/>
                <w:b/>
                <w:bCs/>
                <w:color w:val="C0392B"/>
                <w:sz w:val="17"/>
                <w:szCs w:val="17"/>
              </w:rPr>
              <w:t>Product 1</w:t>
            </w:r>
          </w:p>
          <w:p w14:paraId="40C248D7" w14:textId="77777777" w:rsidR="003C524B" w:rsidRDefault="00187F8C">
            <w:pPr>
              <w:spacing w:after="100"/>
            </w:pPr>
            <w:r>
              <w:rPr>
                <w:rFonts w:ascii="Arial" w:eastAsia="Arial" w:hAnsi="Arial" w:cs="Arial"/>
                <w:b/>
                <w:bCs/>
                <w:color w:val="1F3864"/>
                <w:sz w:val="22"/>
                <w:szCs w:val="22"/>
              </w:rPr>
              <w:t>Maintenance Checklist Automation Suite</w:t>
            </w:r>
          </w:p>
          <w:p w14:paraId="787131ED" w14:textId="77777777" w:rsidR="003C524B" w:rsidRDefault="003C524B">
            <w:pPr>
              <w:pBdr>
                <w:bottom w:val="single" w:sz="1" w:space="4" w:color="DDDDDD"/>
              </w:pBdr>
              <w:spacing w:after="100"/>
            </w:pPr>
          </w:p>
          <w:p w14:paraId="2995386D" w14:textId="77777777" w:rsidR="003C524B" w:rsidRDefault="00187F8C">
            <w:pPr>
              <w:spacing w:before="80" w:after="60"/>
            </w:pPr>
            <w:r>
              <w:rPr>
                <w:rFonts w:ascii="Arial" w:eastAsia="Arial" w:hAnsi="Arial" w:cs="Arial"/>
                <w:color w:val="555555"/>
                <w:sz w:val="18"/>
                <w:szCs w:val="18"/>
              </w:rPr>
              <w:t>Weekly, monthly, quarterly, bi-annual, and annual automation scripts covering 46 checklist items. Saves clients 321.5 hours of manual compliance work annually.</w:t>
            </w:r>
          </w:p>
          <w:p w14:paraId="5CA273A7" w14:textId="77777777" w:rsidR="003C524B" w:rsidRDefault="00187F8C">
            <w:pPr>
              <w:spacing w:before="20" w:after="20"/>
            </w:pPr>
            <w:r>
              <w:rPr>
                <w:rFonts w:ascii="Arial" w:eastAsia="Arial" w:hAnsi="Arial" w:cs="Arial"/>
                <w:color w:val="555555"/>
                <w:sz w:val="17"/>
                <w:szCs w:val="17"/>
              </w:rPr>
              <w:t>7 weekly scripts — vulnerabilities, audit logs, devices</w:t>
            </w:r>
          </w:p>
          <w:p w14:paraId="5F3BC780" w14:textId="77777777" w:rsidR="003C524B" w:rsidRDefault="00187F8C">
            <w:pPr>
              <w:spacing w:before="20" w:after="20"/>
            </w:pPr>
            <w:r>
              <w:rPr>
                <w:rFonts w:ascii="Arial" w:eastAsia="Arial" w:hAnsi="Arial" w:cs="Arial"/>
                <w:color w:val="555555"/>
                <w:sz w:val="17"/>
                <w:szCs w:val="17"/>
              </w:rPr>
              <w:t>2 monthly scripts — software inventory, accounts</w:t>
            </w:r>
          </w:p>
          <w:p w14:paraId="136160AE" w14:textId="77777777" w:rsidR="003C524B" w:rsidRDefault="00187F8C">
            <w:pPr>
              <w:spacing w:before="20" w:after="20"/>
            </w:pPr>
            <w:r>
              <w:rPr>
                <w:rFonts w:ascii="Arial" w:eastAsia="Arial" w:hAnsi="Arial" w:cs="Arial"/>
                <w:color w:val="555555"/>
                <w:sz w:val="17"/>
                <w:szCs w:val="17"/>
              </w:rPr>
              <w:t>Quarterly, bi-annual &amp; annual scripts</w:t>
            </w:r>
          </w:p>
          <w:p w14:paraId="19C6AB43" w14:textId="77777777" w:rsidR="003C524B" w:rsidRDefault="00187F8C">
            <w:pPr>
              <w:spacing w:before="20" w:after="20"/>
            </w:pPr>
            <w:r>
              <w:rPr>
                <w:rFonts w:ascii="Arial" w:eastAsia="Arial" w:hAnsi="Arial" w:cs="Arial"/>
                <w:color w:val="555555"/>
                <w:sz w:val="17"/>
                <w:szCs w:val="17"/>
              </w:rPr>
              <w:t>Master Checklist and Tracking Dashboard included</w:t>
            </w:r>
          </w:p>
          <w:p w14:paraId="75A4D7B8" w14:textId="3A11EBCC" w:rsidR="003C524B" w:rsidRDefault="00D51FD9">
            <w:pPr>
              <w:pBdr>
                <w:top w:val="single" w:sz="1" w:space="4" w:color="DDDDDD"/>
              </w:pBdr>
              <w:spacing w:before="100" w:after="60"/>
            </w:pPr>
            <w:r>
              <w:rPr>
                <w:rFonts w:ascii="Arial" w:eastAsia="Arial" w:hAnsi="Arial" w:cs="Arial"/>
                <w:b/>
                <w:bCs/>
                <w:color w:val="C0392B"/>
                <w:sz w:val="18"/>
                <w:szCs w:val="18"/>
              </w:rPr>
              <w:t>Call to discuss pricing</w:t>
            </w:r>
          </w:p>
        </w:tc>
        <w:tc>
          <w:tcPr>
            <w:tcW w:w="120" w:type="dxa"/>
            <w:tcBorders>
              <w:top w:val="none" w:sz="0" w:space="0" w:color="FFFFFF"/>
              <w:left w:val="none" w:sz="0" w:space="0" w:color="FFFFFF"/>
              <w:bottom w:val="none" w:sz="0" w:space="0" w:color="FFFFFF"/>
              <w:right w:val="none" w:sz="0" w:space="0" w:color="FFFFFF"/>
            </w:tcBorders>
          </w:tcPr>
          <w:p w14:paraId="4FF49864" w14:textId="77777777" w:rsidR="003C524B" w:rsidRDefault="003C524B"/>
        </w:tc>
        <w:tc>
          <w:tcPr>
            <w:tcW w:w="4620" w:type="dxa"/>
            <w:tcBorders>
              <w:top w:val="none" w:sz="0" w:space="0" w:color="FFFFFF"/>
              <w:left w:val="none" w:sz="0" w:space="0" w:color="FFFFFF"/>
              <w:bottom w:val="none" w:sz="0" w:space="0" w:color="FFFFFF"/>
              <w:right w:val="none" w:sz="0" w:space="0" w:color="FFFFFF"/>
            </w:tcBorders>
            <w:shd w:val="clear" w:color="auto" w:fill="F7F9FC"/>
            <w:tcMar>
              <w:top w:w="160" w:type="dxa"/>
              <w:left w:w="180" w:type="dxa"/>
              <w:bottom w:w="160" w:type="dxa"/>
              <w:right w:w="180" w:type="dxa"/>
            </w:tcMar>
          </w:tcPr>
          <w:p w14:paraId="7587198E" w14:textId="77777777" w:rsidR="003C524B" w:rsidRDefault="00187F8C">
            <w:pPr>
              <w:spacing w:after="80"/>
            </w:pPr>
            <w:r>
              <w:rPr>
                <w:rFonts w:ascii="Arial" w:eastAsia="Arial" w:hAnsi="Arial" w:cs="Arial"/>
                <w:b/>
                <w:bCs/>
                <w:color w:val="C0392B"/>
                <w:sz w:val="17"/>
                <w:szCs w:val="17"/>
              </w:rPr>
              <w:t>Product 2</w:t>
            </w:r>
          </w:p>
          <w:p w14:paraId="5AEC45A2" w14:textId="77777777" w:rsidR="003C524B" w:rsidRDefault="00187F8C">
            <w:pPr>
              <w:spacing w:after="100"/>
            </w:pPr>
            <w:r>
              <w:rPr>
                <w:rFonts w:ascii="Arial" w:eastAsia="Arial" w:hAnsi="Arial" w:cs="Arial"/>
                <w:b/>
                <w:bCs/>
                <w:color w:val="1F3864"/>
                <w:sz w:val="22"/>
                <w:szCs w:val="22"/>
              </w:rPr>
              <w:t>Ongoing Monitoring Suite</w:t>
            </w:r>
          </w:p>
          <w:p w14:paraId="35384B2B" w14:textId="77777777" w:rsidR="003C524B" w:rsidRDefault="003C524B">
            <w:pPr>
              <w:pBdr>
                <w:bottom w:val="single" w:sz="1" w:space="4" w:color="DDDDDD"/>
              </w:pBdr>
              <w:spacing w:after="100"/>
            </w:pPr>
          </w:p>
          <w:p w14:paraId="4BA87900" w14:textId="77777777" w:rsidR="003C524B" w:rsidRDefault="00187F8C">
            <w:pPr>
              <w:spacing w:before="80" w:after="60"/>
            </w:pPr>
            <w:r>
              <w:rPr>
                <w:rFonts w:ascii="Arial" w:eastAsia="Arial" w:hAnsi="Arial" w:cs="Arial"/>
                <w:color w:val="555555"/>
                <w:sz w:val="18"/>
                <w:szCs w:val="18"/>
              </w:rPr>
              <w:t>Assessment Objective-level evidence collection across 320 AOs — Quarterly, Bi-Annual, and Annual. Directly supports your clients' annual SPRS score reporting obligation to the DoD.</w:t>
            </w:r>
          </w:p>
          <w:p w14:paraId="1936E0AD" w14:textId="77777777" w:rsidR="003C524B" w:rsidRDefault="00187F8C">
            <w:pPr>
              <w:spacing w:before="20" w:after="20"/>
            </w:pPr>
            <w:r>
              <w:rPr>
                <w:rFonts w:ascii="Arial" w:eastAsia="Arial" w:hAnsi="Arial" w:cs="Arial"/>
                <w:color w:val="555555"/>
                <w:sz w:val="17"/>
                <w:szCs w:val="17"/>
              </w:rPr>
              <w:t>13 Quarterly AOs automated</w:t>
            </w:r>
          </w:p>
          <w:p w14:paraId="695600FF" w14:textId="77777777" w:rsidR="003C524B" w:rsidRDefault="00187F8C">
            <w:pPr>
              <w:spacing w:before="20" w:after="20"/>
            </w:pPr>
            <w:r>
              <w:rPr>
                <w:rFonts w:ascii="Arial" w:eastAsia="Arial" w:hAnsi="Arial" w:cs="Arial"/>
                <w:color w:val="555555"/>
                <w:sz w:val="17"/>
                <w:szCs w:val="17"/>
              </w:rPr>
              <w:t>5 Bi-Annual AOs automated</w:t>
            </w:r>
          </w:p>
          <w:p w14:paraId="237120AA" w14:textId="77777777" w:rsidR="003C524B" w:rsidRDefault="00187F8C">
            <w:pPr>
              <w:spacing w:before="20" w:after="20"/>
            </w:pPr>
            <w:r>
              <w:rPr>
                <w:rFonts w:ascii="Arial" w:eastAsia="Arial" w:hAnsi="Arial" w:cs="Arial"/>
                <w:color w:val="555555"/>
                <w:sz w:val="17"/>
                <w:szCs w:val="17"/>
              </w:rPr>
              <w:t>10 Annual AOs automated</w:t>
            </w:r>
          </w:p>
          <w:p w14:paraId="45FECE0F" w14:textId="77777777" w:rsidR="003C524B" w:rsidRDefault="00187F8C">
            <w:pPr>
              <w:spacing w:before="20" w:after="20"/>
            </w:pPr>
            <w:r>
              <w:rPr>
                <w:rFonts w:ascii="Arial" w:eastAsia="Arial" w:hAnsi="Arial" w:cs="Arial"/>
                <w:color w:val="555555"/>
                <w:sz w:val="17"/>
                <w:szCs w:val="17"/>
              </w:rPr>
              <w:t>Evidence structured to mirror C3PAO assessment methodology</w:t>
            </w:r>
          </w:p>
          <w:p w14:paraId="5B33E70B" w14:textId="1A8D7C48" w:rsidR="003C524B" w:rsidRDefault="00D51FD9">
            <w:pPr>
              <w:pBdr>
                <w:top w:val="single" w:sz="1" w:space="4" w:color="DDDDDD"/>
              </w:pBdr>
              <w:spacing w:before="100" w:after="60"/>
            </w:pPr>
            <w:r>
              <w:rPr>
                <w:rFonts w:ascii="Arial" w:eastAsia="Arial" w:hAnsi="Arial" w:cs="Arial"/>
                <w:b/>
                <w:bCs/>
                <w:color w:val="C0392B"/>
                <w:sz w:val="18"/>
                <w:szCs w:val="18"/>
              </w:rPr>
              <w:t>Call to discuss pricing</w:t>
            </w:r>
          </w:p>
        </w:tc>
      </w:tr>
    </w:tbl>
    <w:p w14:paraId="61399000" w14:textId="77777777" w:rsidR="003C524B" w:rsidRDefault="003C524B">
      <w:pPr>
        <w:spacing w:before="60"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3C524B" w14:paraId="30CC7ED9" w14:textId="77777777">
        <w:tc>
          <w:tcPr>
            <w:tcW w:w="0" w:type="auto"/>
            <w:tcBorders>
              <w:top w:val="single" w:sz="2" w:space="0" w:color="CCCCCC"/>
              <w:left w:val="single" w:sz="2" w:space="0" w:color="CCCCCC"/>
              <w:bottom w:val="single" w:sz="2" w:space="0" w:color="CCCCCC"/>
              <w:right w:val="single" w:sz="2" w:space="0" w:color="CCCCCC"/>
            </w:tcBorders>
            <w:shd w:val="clear" w:color="auto" w:fill="F0F4F8"/>
            <w:tcMar>
              <w:top w:w="120" w:type="dxa"/>
              <w:left w:w="200" w:type="dxa"/>
              <w:bottom w:w="120" w:type="dxa"/>
              <w:right w:w="200" w:type="dxa"/>
            </w:tcMar>
          </w:tcPr>
          <w:p w14:paraId="785641D0" w14:textId="7A9FFC63" w:rsidR="003C524B" w:rsidRDefault="00187F8C">
            <w:pPr>
              <w:spacing w:after="60"/>
              <w:jc w:val="center"/>
            </w:pPr>
            <w:r>
              <w:rPr>
                <w:rFonts w:ascii="Arial" w:eastAsia="Arial" w:hAnsi="Arial" w:cs="Arial"/>
                <w:b/>
                <w:bCs/>
                <w:color w:val="1F3864"/>
              </w:rPr>
              <w:t xml:space="preserve">Combined Bundle — Both Products:  </w:t>
            </w:r>
            <w:r w:rsidR="00D51FD9">
              <w:rPr>
                <w:rFonts w:ascii="Arial" w:eastAsia="Arial" w:hAnsi="Arial" w:cs="Arial"/>
                <w:b/>
                <w:bCs/>
                <w:color w:val="C0392B"/>
              </w:rPr>
              <w:t>Call to discuss pricing</w:t>
            </w:r>
          </w:p>
          <w:p w14:paraId="2027C565" w14:textId="77777777" w:rsidR="003C524B" w:rsidRDefault="00187F8C">
            <w:pPr>
              <w:jc w:val="center"/>
            </w:pPr>
            <w:r>
              <w:rPr>
                <w:rFonts w:ascii="Arial" w:eastAsia="Arial" w:hAnsi="Arial" w:cs="Arial"/>
                <w:color w:val="555555"/>
                <w:sz w:val="18"/>
                <w:szCs w:val="18"/>
              </w:rPr>
              <w:t>Retail value: $500/month per client — 400+ hours saved annually — complete CMMC compliance coverage</w:t>
            </w:r>
          </w:p>
        </w:tc>
      </w:tr>
    </w:tbl>
    <w:p w14:paraId="302B056D" w14:textId="77777777" w:rsidR="003C524B" w:rsidRDefault="003C524B">
      <w:pPr>
        <w:spacing w:before="80" w:after="80"/>
      </w:pPr>
    </w:p>
    <w:p w14:paraId="0B624C99" w14:textId="77777777" w:rsidR="0048057A" w:rsidRDefault="00E77EEB">
      <w:pPr>
        <w:pBdr>
          <w:bottom w:val="single" w:sz="2" w:space="4" w:color="EEEEEE"/>
        </w:pBdr>
        <w:spacing w:before="60" w:after="60"/>
        <w:rPr>
          <w:rFonts w:ascii="Arial" w:eastAsia="Arial" w:hAnsi="Arial" w:cs="Arial"/>
          <w:b/>
          <w:bCs/>
          <w:color w:val="1F3864"/>
          <w:sz w:val="22"/>
          <w:szCs w:val="22"/>
        </w:rPr>
      </w:pPr>
      <w:r>
        <w:rPr>
          <w:rFonts w:ascii="Arial" w:eastAsia="Arial" w:hAnsi="Arial" w:cs="Arial"/>
          <w:b/>
          <w:bCs/>
          <w:color w:val="1F3864"/>
          <w:sz w:val="22"/>
          <w:szCs w:val="22"/>
        </w:rPr>
        <w:br/>
      </w:r>
    </w:p>
    <w:p w14:paraId="7838AE38" w14:textId="77777777" w:rsidR="0048057A" w:rsidRDefault="0048057A">
      <w:pPr>
        <w:pBdr>
          <w:bottom w:val="single" w:sz="2" w:space="4" w:color="EEEEEE"/>
        </w:pBdr>
        <w:spacing w:before="60" w:after="60"/>
        <w:rPr>
          <w:rFonts w:ascii="Arial" w:eastAsia="Arial" w:hAnsi="Arial" w:cs="Arial"/>
          <w:b/>
          <w:bCs/>
          <w:color w:val="1F3864"/>
          <w:sz w:val="22"/>
          <w:szCs w:val="22"/>
        </w:rPr>
      </w:pPr>
    </w:p>
    <w:p w14:paraId="2E50F7A0" w14:textId="77777777" w:rsidR="0048057A" w:rsidRDefault="0048057A">
      <w:pPr>
        <w:pBdr>
          <w:bottom w:val="single" w:sz="2" w:space="4" w:color="EEEEEE"/>
        </w:pBdr>
        <w:spacing w:before="60" w:after="60"/>
        <w:rPr>
          <w:rFonts w:ascii="Arial" w:eastAsia="Arial" w:hAnsi="Arial" w:cs="Arial"/>
          <w:b/>
          <w:bCs/>
          <w:color w:val="1F3864"/>
          <w:sz w:val="22"/>
          <w:szCs w:val="22"/>
        </w:rPr>
      </w:pPr>
    </w:p>
    <w:p w14:paraId="5830F52C" w14:textId="77777777" w:rsidR="0048057A" w:rsidRDefault="0048057A">
      <w:pPr>
        <w:pBdr>
          <w:bottom w:val="single" w:sz="2" w:space="4" w:color="EEEEEE"/>
        </w:pBdr>
        <w:spacing w:before="60" w:after="60"/>
        <w:rPr>
          <w:rFonts w:ascii="Arial" w:eastAsia="Arial" w:hAnsi="Arial" w:cs="Arial"/>
          <w:b/>
          <w:bCs/>
          <w:color w:val="1F3864"/>
          <w:sz w:val="22"/>
          <w:szCs w:val="22"/>
        </w:rPr>
      </w:pPr>
    </w:p>
    <w:p w14:paraId="0647ACCE" w14:textId="77777777" w:rsidR="0048057A" w:rsidRDefault="0048057A">
      <w:pPr>
        <w:pBdr>
          <w:bottom w:val="single" w:sz="2" w:space="4" w:color="EEEEEE"/>
        </w:pBdr>
        <w:spacing w:before="60" w:after="60"/>
        <w:rPr>
          <w:rFonts w:ascii="Arial" w:eastAsia="Arial" w:hAnsi="Arial" w:cs="Arial"/>
          <w:b/>
          <w:bCs/>
          <w:color w:val="1F3864"/>
          <w:sz w:val="22"/>
          <w:szCs w:val="22"/>
        </w:rPr>
      </w:pPr>
    </w:p>
    <w:p w14:paraId="1EDD9919" w14:textId="77777777" w:rsidR="0048057A" w:rsidRDefault="0048057A">
      <w:pPr>
        <w:pBdr>
          <w:bottom w:val="single" w:sz="2" w:space="4" w:color="EEEEEE"/>
        </w:pBdr>
        <w:spacing w:before="60" w:after="60"/>
        <w:rPr>
          <w:rFonts w:ascii="Arial" w:eastAsia="Arial" w:hAnsi="Arial" w:cs="Arial"/>
          <w:b/>
          <w:bCs/>
          <w:color w:val="1F3864"/>
          <w:sz w:val="22"/>
          <w:szCs w:val="22"/>
        </w:rPr>
      </w:pPr>
    </w:p>
    <w:p w14:paraId="5FD13569" w14:textId="77777777" w:rsidR="0048057A" w:rsidRDefault="0048057A">
      <w:pPr>
        <w:pBdr>
          <w:bottom w:val="single" w:sz="2" w:space="4" w:color="EEEEEE"/>
        </w:pBdr>
        <w:spacing w:before="60" w:after="60"/>
        <w:rPr>
          <w:rFonts w:ascii="Arial" w:eastAsia="Arial" w:hAnsi="Arial" w:cs="Arial"/>
          <w:b/>
          <w:bCs/>
          <w:color w:val="1F3864"/>
          <w:sz w:val="22"/>
          <w:szCs w:val="22"/>
        </w:rPr>
      </w:pPr>
    </w:p>
    <w:p w14:paraId="7D7C0215" w14:textId="364713D9" w:rsidR="003C524B" w:rsidRDefault="00187F8C">
      <w:pPr>
        <w:pBdr>
          <w:bottom w:val="single" w:sz="2" w:space="4" w:color="EEEEEE"/>
        </w:pBdr>
        <w:spacing w:before="60" w:after="60"/>
      </w:pPr>
      <w:r>
        <w:rPr>
          <w:rFonts w:ascii="Arial" w:eastAsia="Arial" w:hAnsi="Arial" w:cs="Arial"/>
          <w:b/>
          <w:bCs/>
          <w:color w:val="1F3864"/>
          <w:sz w:val="22"/>
          <w:szCs w:val="22"/>
        </w:rPr>
        <w:lastRenderedPageBreak/>
        <w:t>Why It Works for Your Practice</w:t>
      </w:r>
    </w:p>
    <w:p w14:paraId="1968D784" w14:textId="77777777" w:rsidR="003C524B" w:rsidRDefault="003C524B">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20"/>
        <w:gridCol w:w="120"/>
        <w:gridCol w:w="4620"/>
      </w:tblGrid>
      <w:tr w:rsidR="003C524B" w14:paraId="7F52B097" w14:textId="77777777">
        <w:tc>
          <w:tcPr>
            <w:tcW w:w="4620" w:type="dxa"/>
            <w:tcBorders>
              <w:top w:val="none" w:sz="0" w:space="0" w:color="FFFFFF"/>
              <w:left w:val="none" w:sz="0" w:space="0" w:color="FFFFFF"/>
              <w:bottom w:val="none" w:sz="0" w:space="0" w:color="FFFFFF"/>
              <w:right w:val="none" w:sz="0" w:space="0" w:color="FFFFFF"/>
            </w:tcBorders>
          </w:tcPr>
          <w:p w14:paraId="6620AE67" w14:textId="77777777" w:rsidR="003C524B" w:rsidRDefault="00187F8C">
            <w:pPr>
              <w:spacing w:after="60"/>
            </w:pPr>
            <w:r>
              <w:rPr>
                <w:rFonts w:ascii="Arial" w:eastAsia="Arial" w:hAnsi="Arial" w:cs="Arial"/>
                <w:b/>
                <w:bCs/>
                <w:color w:val="1F3864"/>
                <w:sz w:val="19"/>
                <w:szCs w:val="19"/>
              </w:rPr>
              <w:t>Recurring Revenue</w:t>
            </w:r>
          </w:p>
          <w:p w14:paraId="0ECFA240" w14:textId="77777777" w:rsidR="003C524B" w:rsidRDefault="00187F8C">
            <w:pPr>
              <w:spacing w:after="100"/>
            </w:pPr>
            <w:r>
              <w:rPr>
                <w:rFonts w:ascii="Arial" w:eastAsia="Arial" w:hAnsi="Arial" w:cs="Arial"/>
                <w:color w:val="555555"/>
                <w:sz w:val="18"/>
                <w:szCs w:val="18"/>
              </w:rPr>
              <w:t xml:space="preserve">Bundle BeardedELF into your managed service offering and bill it as a </w:t>
            </w:r>
            <w:proofErr w:type="gramStart"/>
            <w:r>
              <w:rPr>
                <w:rFonts w:ascii="Arial" w:eastAsia="Arial" w:hAnsi="Arial" w:cs="Arial"/>
                <w:color w:val="555555"/>
                <w:sz w:val="18"/>
                <w:szCs w:val="18"/>
              </w:rPr>
              <w:t>monthly line</w:t>
            </w:r>
            <w:proofErr w:type="gramEnd"/>
            <w:r>
              <w:rPr>
                <w:rFonts w:ascii="Arial" w:eastAsia="Arial" w:hAnsi="Arial" w:cs="Arial"/>
                <w:color w:val="555555"/>
                <w:sz w:val="18"/>
                <w:szCs w:val="18"/>
              </w:rPr>
              <w:t xml:space="preserve"> item. One deployment per client, monthly recurring revenue for the life of the engagement.</w:t>
            </w:r>
          </w:p>
          <w:p w14:paraId="4E903C41" w14:textId="77777777" w:rsidR="003C524B" w:rsidRDefault="00187F8C">
            <w:pPr>
              <w:spacing w:after="60"/>
            </w:pPr>
            <w:r>
              <w:rPr>
                <w:rFonts w:ascii="Arial" w:eastAsia="Arial" w:hAnsi="Arial" w:cs="Arial"/>
                <w:b/>
                <w:bCs/>
                <w:color w:val="1F3864"/>
                <w:sz w:val="19"/>
                <w:szCs w:val="19"/>
              </w:rPr>
              <w:t>Stickier Client Relationships</w:t>
            </w:r>
          </w:p>
          <w:p w14:paraId="0E645CA3" w14:textId="77777777" w:rsidR="003C524B" w:rsidRDefault="00187F8C">
            <w:r>
              <w:rPr>
                <w:rFonts w:ascii="Arial" w:eastAsia="Arial" w:hAnsi="Arial" w:cs="Arial"/>
                <w:color w:val="555555"/>
                <w:sz w:val="18"/>
                <w:szCs w:val="18"/>
              </w:rPr>
              <w:t>Clients running BeardedELF have automated compliance infrastructure tied to their environment. That's not easy to walk away from — and it keeps you as the trusted partner managing it.</w:t>
            </w:r>
          </w:p>
        </w:tc>
        <w:tc>
          <w:tcPr>
            <w:tcW w:w="120" w:type="dxa"/>
            <w:tcBorders>
              <w:top w:val="none" w:sz="0" w:space="0" w:color="FFFFFF"/>
              <w:left w:val="none" w:sz="0" w:space="0" w:color="FFFFFF"/>
              <w:bottom w:val="none" w:sz="0" w:space="0" w:color="FFFFFF"/>
              <w:right w:val="none" w:sz="0" w:space="0" w:color="FFFFFF"/>
            </w:tcBorders>
          </w:tcPr>
          <w:p w14:paraId="3B429695" w14:textId="77777777" w:rsidR="003C524B" w:rsidRDefault="003C524B"/>
        </w:tc>
        <w:tc>
          <w:tcPr>
            <w:tcW w:w="4620" w:type="dxa"/>
            <w:tcBorders>
              <w:top w:val="none" w:sz="0" w:space="0" w:color="FFFFFF"/>
              <w:left w:val="none" w:sz="0" w:space="0" w:color="FFFFFF"/>
              <w:bottom w:val="none" w:sz="0" w:space="0" w:color="FFFFFF"/>
              <w:right w:val="none" w:sz="0" w:space="0" w:color="FFFFFF"/>
            </w:tcBorders>
          </w:tcPr>
          <w:p w14:paraId="0497A2E8" w14:textId="77777777" w:rsidR="003C524B" w:rsidRDefault="00187F8C">
            <w:pPr>
              <w:spacing w:after="60"/>
            </w:pPr>
            <w:r>
              <w:rPr>
                <w:rFonts w:ascii="Arial" w:eastAsia="Arial" w:hAnsi="Arial" w:cs="Arial"/>
                <w:b/>
                <w:bCs/>
                <w:color w:val="1F3864"/>
                <w:sz w:val="19"/>
                <w:szCs w:val="19"/>
              </w:rPr>
              <w:t>CCA-Developed Credibility</w:t>
            </w:r>
          </w:p>
          <w:p w14:paraId="48514A6A" w14:textId="77777777" w:rsidR="003C524B" w:rsidRDefault="00187F8C">
            <w:pPr>
              <w:spacing w:after="100"/>
            </w:pPr>
            <w:r>
              <w:rPr>
                <w:rFonts w:ascii="Arial" w:eastAsia="Arial" w:hAnsi="Arial" w:cs="Arial"/>
                <w:color w:val="555555"/>
                <w:sz w:val="18"/>
                <w:szCs w:val="18"/>
              </w:rPr>
              <w:t>Developed by a Certified CMMC Assessor who has implemented GCC-High enclaves and taken clients through successful C3PAO Assessments. You're offering clients something built by someone who has sat on both sides of the assessment table.</w:t>
            </w:r>
          </w:p>
          <w:p w14:paraId="71A09DD2" w14:textId="77777777" w:rsidR="003C524B" w:rsidRDefault="00187F8C">
            <w:pPr>
              <w:spacing w:after="60"/>
            </w:pPr>
            <w:r>
              <w:rPr>
                <w:rFonts w:ascii="Arial" w:eastAsia="Arial" w:hAnsi="Arial" w:cs="Arial"/>
                <w:b/>
                <w:bCs/>
                <w:color w:val="1F3864"/>
                <w:sz w:val="19"/>
                <w:szCs w:val="19"/>
              </w:rPr>
              <w:t>Deployment Ready in 2-4 Weeks</w:t>
            </w:r>
          </w:p>
          <w:p w14:paraId="39D36EE9" w14:textId="77777777" w:rsidR="003C524B" w:rsidRDefault="00187F8C">
            <w:r>
              <w:rPr>
                <w:rFonts w:ascii="Arial" w:eastAsia="Arial" w:hAnsi="Arial" w:cs="Arial"/>
                <w:color w:val="555555"/>
                <w:sz w:val="18"/>
                <w:szCs w:val="18"/>
              </w:rPr>
              <w:t xml:space="preserve">Complete deployment documentation, client-agnostic templates, and 10 hours </w:t>
            </w:r>
            <w:proofErr w:type="gramStart"/>
            <w:r>
              <w:rPr>
                <w:rFonts w:ascii="Arial" w:eastAsia="Arial" w:hAnsi="Arial" w:cs="Arial"/>
                <w:color w:val="555555"/>
                <w:sz w:val="18"/>
                <w:szCs w:val="18"/>
              </w:rPr>
              <w:t>of included</w:t>
            </w:r>
            <w:proofErr w:type="gramEnd"/>
            <w:r>
              <w:rPr>
                <w:rFonts w:ascii="Arial" w:eastAsia="Arial" w:hAnsi="Arial" w:cs="Arial"/>
                <w:color w:val="555555"/>
                <w:sz w:val="18"/>
                <w:szCs w:val="18"/>
              </w:rPr>
              <w:t xml:space="preserve"> onboarding support per client. Your team deploys, BeardedELF runs, your client stays compliant.</w:t>
            </w:r>
          </w:p>
        </w:tc>
      </w:tr>
    </w:tbl>
    <w:p w14:paraId="224D89CB" w14:textId="77777777" w:rsidR="003C524B" w:rsidRDefault="003C524B">
      <w:pPr>
        <w:spacing w:before="80" w:after="80"/>
      </w:pPr>
    </w:p>
    <w:p w14:paraId="13ABEAD2" w14:textId="77777777" w:rsidR="003C524B" w:rsidRDefault="00187F8C">
      <w:pPr>
        <w:pBdr>
          <w:bottom w:val="single" w:sz="2" w:space="4" w:color="EEEEEE"/>
        </w:pBdr>
        <w:spacing w:before="60" w:after="60"/>
      </w:pPr>
      <w:r>
        <w:rPr>
          <w:rFonts w:ascii="Arial" w:eastAsia="Arial" w:hAnsi="Arial" w:cs="Arial"/>
          <w:b/>
          <w:bCs/>
          <w:color w:val="1F3864"/>
          <w:sz w:val="22"/>
          <w:szCs w:val="22"/>
        </w:rPr>
        <w:t xml:space="preserve">How </w:t>
      </w:r>
      <w:proofErr w:type="gramStart"/>
      <w:r>
        <w:rPr>
          <w:rFonts w:ascii="Arial" w:eastAsia="Arial" w:hAnsi="Arial" w:cs="Arial"/>
          <w:b/>
          <w:bCs/>
          <w:color w:val="1F3864"/>
          <w:sz w:val="22"/>
          <w:szCs w:val="22"/>
        </w:rPr>
        <w:t>the Partnership</w:t>
      </w:r>
      <w:proofErr w:type="gramEnd"/>
      <w:r>
        <w:rPr>
          <w:rFonts w:ascii="Arial" w:eastAsia="Arial" w:hAnsi="Arial" w:cs="Arial"/>
          <w:b/>
          <w:bCs/>
          <w:color w:val="1F3864"/>
          <w:sz w:val="22"/>
          <w:szCs w:val="22"/>
        </w:rPr>
        <w:t xml:space="preserve"> Works</w:t>
      </w:r>
    </w:p>
    <w:p w14:paraId="455C2500" w14:textId="77777777" w:rsidR="003C524B" w:rsidRDefault="003C524B">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120"/>
        <w:gridCol w:w="3120"/>
        <w:gridCol w:w="3120"/>
      </w:tblGrid>
      <w:tr w:rsidR="003C524B" w14:paraId="77C1B2AE" w14:textId="77777777">
        <w:tc>
          <w:tcPr>
            <w:tcW w:w="3120" w:type="dxa"/>
            <w:tcBorders>
              <w:top w:val="none" w:sz="0" w:space="0" w:color="FFFFFF"/>
              <w:left w:val="none" w:sz="0" w:space="0" w:color="FFFFFF"/>
              <w:bottom w:val="none" w:sz="0" w:space="0" w:color="FFFFFF"/>
              <w:right w:val="none" w:sz="0" w:space="0" w:color="FFFFFF"/>
            </w:tcBorders>
            <w:tcMar>
              <w:top w:w="60" w:type="dxa"/>
              <w:left w:w="0" w:type="dxa"/>
              <w:bottom w:w="60" w:type="dxa"/>
              <w:right w:w="120" w:type="dxa"/>
            </w:tcMar>
          </w:tcPr>
          <w:p w14:paraId="7B043901" w14:textId="77777777" w:rsidR="003C524B" w:rsidRDefault="00187F8C">
            <w:pPr>
              <w:spacing w:after="40"/>
            </w:pPr>
            <w:r>
              <w:rPr>
                <w:rFonts w:ascii="Arial" w:eastAsia="Arial" w:hAnsi="Arial" w:cs="Arial"/>
                <w:b/>
                <w:bCs/>
                <w:color w:val="1F3864"/>
                <w:sz w:val="18"/>
                <w:szCs w:val="18"/>
              </w:rPr>
              <w:t>Referral Model</w:t>
            </w:r>
          </w:p>
          <w:p w14:paraId="6C0BCA8E" w14:textId="77777777" w:rsidR="003C524B" w:rsidRDefault="00187F8C">
            <w:pPr>
              <w:spacing w:after="20"/>
            </w:pPr>
            <w:r>
              <w:rPr>
                <w:rFonts w:ascii="Arial" w:eastAsia="Arial" w:hAnsi="Arial" w:cs="Arial"/>
                <w:color w:val="555555"/>
                <w:sz w:val="17"/>
                <w:szCs w:val="17"/>
              </w:rPr>
              <w:t xml:space="preserve">Introduce clients to BeardedELF directly. BeardedELF contracts with the client. You receive a referral fee of 15-20% of the </w:t>
            </w:r>
            <w:proofErr w:type="gramStart"/>
            <w:r>
              <w:rPr>
                <w:rFonts w:ascii="Arial" w:eastAsia="Arial" w:hAnsi="Arial" w:cs="Arial"/>
                <w:color w:val="555555"/>
                <w:sz w:val="17"/>
                <w:szCs w:val="17"/>
              </w:rPr>
              <w:t>first year</w:t>
            </w:r>
            <w:proofErr w:type="gramEnd"/>
            <w:r>
              <w:rPr>
                <w:rFonts w:ascii="Arial" w:eastAsia="Arial" w:hAnsi="Arial" w:cs="Arial"/>
                <w:color w:val="555555"/>
                <w:sz w:val="17"/>
                <w:szCs w:val="17"/>
              </w:rPr>
              <w:t xml:space="preserve"> subscription.</w:t>
            </w:r>
          </w:p>
        </w:tc>
        <w:tc>
          <w:tcPr>
            <w:tcW w:w="3120" w:type="dxa"/>
            <w:tcBorders>
              <w:top w:val="none" w:sz="0" w:space="0" w:color="FFFFFF"/>
              <w:left w:val="none" w:sz="0" w:space="0" w:color="FFFFFF"/>
              <w:bottom w:val="none" w:sz="0" w:space="0" w:color="FFFFFF"/>
              <w:right w:val="none" w:sz="0" w:space="0" w:color="FFFFFF"/>
            </w:tcBorders>
            <w:tcMar>
              <w:top w:w="60" w:type="dxa"/>
              <w:left w:w="60" w:type="dxa"/>
              <w:bottom w:w="60" w:type="dxa"/>
              <w:right w:w="60" w:type="dxa"/>
            </w:tcMar>
          </w:tcPr>
          <w:p w14:paraId="1B6698B5" w14:textId="77777777" w:rsidR="003C524B" w:rsidRDefault="00187F8C">
            <w:pPr>
              <w:spacing w:after="40"/>
            </w:pPr>
            <w:r>
              <w:rPr>
                <w:rFonts w:ascii="Arial" w:eastAsia="Arial" w:hAnsi="Arial" w:cs="Arial"/>
                <w:b/>
                <w:bCs/>
                <w:color w:val="1F3864"/>
                <w:sz w:val="18"/>
                <w:szCs w:val="18"/>
              </w:rPr>
              <w:t>Reseller Model</w:t>
            </w:r>
          </w:p>
          <w:p w14:paraId="49FD199E" w14:textId="77777777" w:rsidR="003C524B" w:rsidRDefault="00187F8C">
            <w:pPr>
              <w:spacing w:after="20"/>
            </w:pPr>
            <w:r>
              <w:rPr>
                <w:rFonts w:ascii="Arial" w:eastAsia="Arial" w:hAnsi="Arial" w:cs="Arial"/>
                <w:color w:val="555555"/>
                <w:sz w:val="17"/>
                <w:szCs w:val="17"/>
              </w:rPr>
              <w:t>Purchase BeardedELF at wholesale pricing and bundle it into your managed service offering. You set the client price and manage the relationship.</w:t>
            </w:r>
          </w:p>
        </w:tc>
        <w:tc>
          <w:tcPr>
            <w:tcW w:w="3120" w:type="dxa"/>
            <w:tcBorders>
              <w:top w:val="none" w:sz="0" w:space="0" w:color="FFFFFF"/>
              <w:left w:val="none" w:sz="0" w:space="0" w:color="FFFFFF"/>
              <w:bottom w:val="none" w:sz="0" w:space="0" w:color="FFFFFF"/>
              <w:right w:val="none" w:sz="0" w:space="0" w:color="FFFFFF"/>
            </w:tcBorders>
            <w:tcMar>
              <w:top w:w="60" w:type="dxa"/>
              <w:left w:w="120" w:type="dxa"/>
              <w:bottom w:w="60" w:type="dxa"/>
              <w:right w:w="0" w:type="dxa"/>
            </w:tcMar>
          </w:tcPr>
          <w:p w14:paraId="0DCC8F47" w14:textId="77777777" w:rsidR="003C524B" w:rsidRDefault="00187F8C">
            <w:pPr>
              <w:spacing w:after="40"/>
            </w:pPr>
            <w:r>
              <w:rPr>
                <w:rFonts w:ascii="Arial" w:eastAsia="Arial" w:hAnsi="Arial" w:cs="Arial"/>
                <w:b/>
                <w:bCs/>
                <w:color w:val="1F3864"/>
                <w:sz w:val="18"/>
                <w:szCs w:val="18"/>
              </w:rPr>
              <w:t>Getting Started</w:t>
            </w:r>
          </w:p>
          <w:p w14:paraId="7BA15834" w14:textId="77777777" w:rsidR="003C524B" w:rsidRDefault="00187F8C">
            <w:pPr>
              <w:spacing w:after="20"/>
            </w:pPr>
            <w:r>
              <w:rPr>
                <w:rFonts w:ascii="Arial" w:eastAsia="Arial" w:hAnsi="Arial" w:cs="Arial"/>
                <w:color w:val="555555"/>
                <w:sz w:val="17"/>
                <w:szCs w:val="17"/>
              </w:rPr>
              <w:t xml:space="preserve">Reach out to discuss which model fits your practice. A Marketing Authorization Agreement is ready to </w:t>
            </w:r>
            <w:proofErr w:type="gramStart"/>
            <w:r>
              <w:rPr>
                <w:rFonts w:ascii="Arial" w:eastAsia="Arial" w:hAnsi="Arial" w:cs="Arial"/>
                <w:color w:val="555555"/>
                <w:sz w:val="17"/>
                <w:szCs w:val="17"/>
              </w:rPr>
              <w:t>execute</w:t>
            </w:r>
            <w:proofErr w:type="gramEnd"/>
            <w:r>
              <w:rPr>
                <w:rFonts w:ascii="Arial" w:eastAsia="Arial" w:hAnsi="Arial" w:cs="Arial"/>
                <w:color w:val="555555"/>
                <w:sz w:val="17"/>
                <w:szCs w:val="17"/>
              </w:rPr>
              <w:t>. First deployment can begin within days.</w:t>
            </w:r>
          </w:p>
        </w:tc>
      </w:tr>
    </w:tbl>
    <w:p w14:paraId="5CF0BDB6" w14:textId="77777777" w:rsidR="003C524B" w:rsidRDefault="003C524B">
      <w:pPr>
        <w:spacing w:before="80" w:after="80"/>
      </w:pPr>
    </w:p>
    <w:p w14:paraId="1AAADCBD" w14:textId="77777777" w:rsidR="003C524B" w:rsidRDefault="00187F8C">
      <w:pPr>
        <w:pBdr>
          <w:top w:val="single" w:sz="2" w:space="6" w:color="EEEEEE"/>
        </w:pBdr>
        <w:spacing w:before="80"/>
        <w:jc w:val="center"/>
      </w:pPr>
      <w:r>
        <w:rPr>
          <w:rFonts w:ascii="Arial" w:eastAsia="Arial" w:hAnsi="Arial" w:cs="Arial"/>
          <w:color w:val="AAAAAA"/>
          <w:sz w:val="16"/>
          <w:szCs w:val="16"/>
        </w:rPr>
        <w:t xml:space="preserve">BeardedELF </w:t>
      </w:r>
      <w:proofErr w:type="gramStart"/>
      <w:r>
        <w:rPr>
          <w:rFonts w:ascii="Arial" w:eastAsia="Arial" w:hAnsi="Arial" w:cs="Arial"/>
          <w:color w:val="AAAAAA"/>
          <w:sz w:val="16"/>
          <w:szCs w:val="16"/>
        </w:rPr>
        <w:t>LLC  |</w:t>
      </w:r>
      <w:proofErr w:type="gramEnd"/>
      <w:r>
        <w:rPr>
          <w:rFonts w:ascii="Arial" w:eastAsia="Arial" w:hAnsi="Arial" w:cs="Arial"/>
          <w:color w:val="AAAAAA"/>
          <w:sz w:val="16"/>
          <w:szCs w:val="16"/>
        </w:rPr>
        <w:t xml:space="preserve">  </w:t>
      </w:r>
      <w:proofErr w:type="gramStart"/>
      <w:r>
        <w:rPr>
          <w:rFonts w:ascii="Arial" w:eastAsia="Arial" w:hAnsi="Arial" w:cs="Arial"/>
          <w:color w:val="AAAAAA"/>
          <w:sz w:val="16"/>
          <w:szCs w:val="16"/>
        </w:rPr>
        <w:t>eric@beardedelf.us  |</w:t>
      </w:r>
      <w:proofErr w:type="gramEnd"/>
      <w:r>
        <w:rPr>
          <w:rFonts w:ascii="Arial" w:eastAsia="Arial" w:hAnsi="Arial" w:cs="Arial"/>
          <w:color w:val="AAAAAA"/>
          <w:sz w:val="16"/>
          <w:szCs w:val="16"/>
        </w:rPr>
        <w:t xml:space="preserve">  </w:t>
      </w:r>
      <w:proofErr w:type="gramStart"/>
      <w:r>
        <w:rPr>
          <w:rFonts w:ascii="Arial" w:eastAsia="Arial" w:hAnsi="Arial" w:cs="Arial"/>
          <w:color w:val="AAAAAA"/>
          <w:sz w:val="16"/>
          <w:szCs w:val="16"/>
        </w:rPr>
        <w:t>www.beardedelf.us  |</w:t>
      </w:r>
      <w:proofErr w:type="gramEnd"/>
      <w:r>
        <w:rPr>
          <w:rFonts w:ascii="Arial" w:eastAsia="Arial" w:hAnsi="Arial" w:cs="Arial"/>
          <w:color w:val="AAAAAA"/>
          <w:sz w:val="16"/>
          <w:szCs w:val="16"/>
        </w:rPr>
        <w:t xml:space="preserve">  Compliance Without the Chaos.</w:t>
      </w:r>
    </w:p>
    <w:sectPr w:rsidR="003C524B">
      <w:pgSz w:w="12240" w:h="15840"/>
      <w:pgMar w:top="900" w:right="1080" w:bottom="900" w:left="108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3FA0D74"/>
    <w:multiLevelType w:val="hybridMultilevel"/>
    <w:tmpl w:val="90BE49D4"/>
    <w:lvl w:ilvl="0" w:tplc="9ED00758">
      <w:start w:val="1"/>
      <w:numFmt w:val="bullet"/>
      <w:lvlText w:val="•"/>
      <w:lvlJc w:val="left"/>
      <w:pPr>
        <w:ind w:left="520" w:hanging="260"/>
      </w:pPr>
    </w:lvl>
    <w:lvl w:ilvl="1" w:tplc="2A345EFA">
      <w:numFmt w:val="decimal"/>
      <w:lvlText w:val=""/>
      <w:lvlJc w:val="left"/>
    </w:lvl>
    <w:lvl w:ilvl="2" w:tplc="FB8A8AD2">
      <w:numFmt w:val="decimal"/>
      <w:lvlText w:val=""/>
      <w:lvlJc w:val="left"/>
    </w:lvl>
    <w:lvl w:ilvl="3" w:tplc="1B0A97D2">
      <w:numFmt w:val="decimal"/>
      <w:lvlText w:val=""/>
      <w:lvlJc w:val="left"/>
    </w:lvl>
    <w:lvl w:ilvl="4" w:tplc="ECFAD3A0">
      <w:numFmt w:val="decimal"/>
      <w:lvlText w:val=""/>
      <w:lvlJc w:val="left"/>
    </w:lvl>
    <w:lvl w:ilvl="5" w:tplc="59A8D790">
      <w:numFmt w:val="decimal"/>
      <w:lvlText w:val=""/>
      <w:lvlJc w:val="left"/>
    </w:lvl>
    <w:lvl w:ilvl="6" w:tplc="2B885B6E">
      <w:numFmt w:val="decimal"/>
      <w:lvlText w:val=""/>
      <w:lvlJc w:val="left"/>
    </w:lvl>
    <w:lvl w:ilvl="7" w:tplc="1F02D4D4">
      <w:numFmt w:val="decimal"/>
      <w:lvlText w:val=""/>
      <w:lvlJc w:val="left"/>
    </w:lvl>
    <w:lvl w:ilvl="8" w:tplc="768AE9C4">
      <w:numFmt w:val="decimal"/>
      <w:lvlText w:val=""/>
      <w:lvlJc w:val="left"/>
    </w:lvl>
  </w:abstractNum>
  <w:abstractNum w:abstractNumId="1" w15:restartNumberingAfterBreak="0">
    <w:nsid w:val="7ECE0BA9"/>
    <w:multiLevelType w:val="hybridMultilevel"/>
    <w:tmpl w:val="44D27C38"/>
    <w:lvl w:ilvl="0" w:tplc="D0468910">
      <w:start w:val="1"/>
      <w:numFmt w:val="bullet"/>
      <w:lvlText w:val="●"/>
      <w:lvlJc w:val="left"/>
      <w:pPr>
        <w:ind w:left="720" w:hanging="360"/>
      </w:pPr>
    </w:lvl>
    <w:lvl w:ilvl="1" w:tplc="8C9E2AA0">
      <w:start w:val="1"/>
      <w:numFmt w:val="bullet"/>
      <w:lvlText w:val="○"/>
      <w:lvlJc w:val="left"/>
      <w:pPr>
        <w:ind w:left="1440" w:hanging="360"/>
      </w:pPr>
    </w:lvl>
    <w:lvl w:ilvl="2" w:tplc="8444B97C">
      <w:start w:val="1"/>
      <w:numFmt w:val="bullet"/>
      <w:lvlText w:val="■"/>
      <w:lvlJc w:val="left"/>
      <w:pPr>
        <w:ind w:left="2160" w:hanging="360"/>
      </w:pPr>
    </w:lvl>
    <w:lvl w:ilvl="3" w:tplc="591E4EFA">
      <w:start w:val="1"/>
      <w:numFmt w:val="bullet"/>
      <w:lvlText w:val="●"/>
      <w:lvlJc w:val="left"/>
      <w:pPr>
        <w:ind w:left="2880" w:hanging="360"/>
      </w:pPr>
    </w:lvl>
    <w:lvl w:ilvl="4" w:tplc="5D2CEEEA">
      <w:start w:val="1"/>
      <w:numFmt w:val="bullet"/>
      <w:lvlText w:val="○"/>
      <w:lvlJc w:val="left"/>
      <w:pPr>
        <w:ind w:left="3600" w:hanging="360"/>
      </w:pPr>
    </w:lvl>
    <w:lvl w:ilvl="5" w:tplc="2B84CC38">
      <w:start w:val="1"/>
      <w:numFmt w:val="bullet"/>
      <w:lvlText w:val="■"/>
      <w:lvlJc w:val="left"/>
      <w:pPr>
        <w:ind w:left="4320" w:hanging="360"/>
      </w:pPr>
    </w:lvl>
    <w:lvl w:ilvl="6" w:tplc="05F283D6">
      <w:start w:val="1"/>
      <w:numFmt w:val="bullet"/>
      <w:lvlText w:val="●"/>
      <w:lvlJc w:val="left"/>
      <w:pPr>
        <w:ind w:left="5040" w:hanging="360"/>
      </w:pPr>
    </w:lvl>
    <w:lvl w:ilvl="7" w:tplc="2A205752">
      <w:start w:val="1"/>
      <w:numFmt w:val="bullet"/>
      <w:lvlText w:val="●"/>
      <w:lvlJc w:val="left"/>
      <w:pPr>
        <w:ind w:left="5760" w:hanging="360"/>
      </w:pPr>
    </w:lvl>
    <w:lvl w:ilvl="8" w:tplc="504A829A">
      <w:start w:val="1"/>
      <w:numFmt w:val="bullet"/>
      <w:lvlText w:val="●"/>
      <w:lvlJc w:val="left"/>
      <w:pPr>
        <w:ind w:left="6480" w:hanging="360"/>
      </w:pPr>
    </w:lvl>
  </w:abstractNum>
  <w:num w:numId="1" w16cid:durableId="1997301398">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524B"/>
    <w:rsid w:val="000163F9"/>
    <w:rsid w:val="00187F8C"/>
    <w:rsid w:val="00246E1D"/>
    <w:rsid w:val="002A64C8"/>
    <w:rsid w:val="00342E08"/>
    <w:rsid w:val="003C524B"/>
    <w:rsid w:val="003D3C89"/>
    <w:rsid w:val="0048057A"/>
    <w:rsid w:val="005300BD"/>
    <w:rsid w:val="00792C77"/>
    <w:rsid w:val="00973335"/>
    <w:rsid w:val="00B6570C"/>
    <w:rsid w:val="00CD36FD"/>
    <w:rsid w:val="00D51FD9"/>
    <w:rsid w:val="00E77E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76E0F3"/>
  <w15:docId w15:val="{068B1530-C028-4DBC-872F-2E30E82542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485</Words>
  <Characters>2994</Characters>
  <Application>Microsoft Office Word</Application>
  <DocSecurity>0</DocSecurity>
  <Lines>103</Lines>
  <Paragraphs>43</Paragraphs>
  <ScaleCrop>false</ScaleCrop>
  <Company/>
  <LinksUpToDate>false</LinksUpToDate>
  <CharactersWithSpaces>3453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Eric Fields</cp:lastModifiedBy>
  <cp:revision>4</cp:revision>
  <dcterms:created xsi:type="dcterms:W3CDTF">2026-04-17T18:23:00Z</dcterms:created>
  <dcterms:modified xsi:type="dcterms:W3CDTF">2026-04-17T18:25:00Z</dcterms:modified>
</cp:coreProperties>
</file>